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948B" w14:textId="77777777" w:rsidR="009864D8" w:rsidRPr="00FB158D" w:rsidRDefault="00961667" w:rsidP="00CD66BB">
      <w:pPr>
        <w:pStyle w:val="Bezodstpw"/>
        <w:spacing w:line="276" w:lineRule="auto"/>
        <w:rPr>
          <w:rFonts w:ascii="Arial" w:hAnsi="Arial" w:cs="Arial"/>
        </w:rPr>
      </w:pPr>
      <w:r w:rsidRPr="00FB158D">
        <w:rPr>
          <w:rFonts w:ascii="Arial" w:hAnsi="Arial" w:cs="Arial"/>
        </w:rPr>
        <w:t xml:space="preserve">dr Paweł </w:t>
      </w:r>
      <w:proofErr w:type="spellStart"/>
      <w:r w:rsidRPr="00FB158D">
        <w:rPr>
          <w:rFonts w:ascii="Arial" w:hAnsi="Arial" w:cs="Arial"/>
        </w:rPr>
        <w:t>Mańczyk</w:t>
      </w:r>
      <w:proofErr w:type="spellEnd"/>
    </w:p>
    <w:p w14:paraId="22DA9067" w14:textId="77777777" w:rsidR="00E37B7A" w:rsidRDefault="00961667" w:rsidP="00CD66BB">
      <w:pPr>
        <w:pStyle w:val="Bezodstpw"/>
        <w:spacing w:line="276" w:lineRule="auto"/>
        <w:rPr>
          <w:rFonts w:ascii="Arial" w:hAnsi="Arial" w:cs="Arial"/>
        </w:rPr>
      </w:pPr>
      <w:r w:rsidRPr="00FB158D">
        <w:rPr>
          <w:rFonts w:ascii="Arial" w:hAnsi="Arial" w:cs="Arial"/>
        </w:rPr>
        <w:t>Wydział Prawa i Administracji</w:t>
      </w:r>
    </w:p>
    <w:p w14:paraId="5D9D5E67" w14:textId="74767C19" w:rsidR="00961667" w:rsidRPr="00FB158D" w:rsidRDefault="00961667" w:rsidP="00CD66BB">
      <w:pPr>
        <w:pStyle w:val="Bezodstpw"/>
        <w:spacing w:line="276" w:lineRule="auto"/>
        <w:rPr>
          <w:rFonts w:ascii="Arial" w:hAnsi="Arial" w:cs="Arial"/>
        </w:rPr>
      </w:pPr>
      <w:r w:rsidRPr="00FB158D">
        <w:rPr>
          <w:rFonts w:ascii="Arial" w:hAnsi="Arial" w:cs="Arial"/>
        </w:rPr>
        <w:t>Uniwersytet Szczeciński</w:t>
      </w:r>
    </w:p>
    <w:p w14:paraId="793B8150" w14:textId="77777777" w:rsidR="00961667" w:rsidRPr="00FB158D" w:rsidRDefault="00961667" w:rsidP="00CD66BB">
      <w:pPr>
        <w:pStyle w:val="Bezodstpw"/>
        <w:spacing w:line="276" w:lineRule="auto"/>
        <w:rPr>
          <w:rFonts w:ascii="Arial" w:hAnsi="Arial" w:cs="Arial"/>
        </w:rPr>
      </w:pPr>
    </w:p>
    <w:p w14:paraId="7ADCC97A" w14:textId="75B37BEE" w:rsidR="00961667" w:rsidRPr="00CD66BB" w:rsidRDefault="00961667" w:rsidP="00CD66BB">
      <w:pPr>
        <w:pStyle w:val="Nagwek1"/>
        <w:spacing w:before="0" w:line="276" w:lineRule="auto"/>
        <w:rPr>
          <w:rFonts w:ascii="Arial" w:hAnsi="Arial" w:cs="Arial"/>
          <w:b/>
          <w:bCs/>
        </w:rPr>
      </w:pPr>
      <w:r w:rsidRPr="00CD66BB">
        <w:rPr>
          <w:rFonts w:ascii="Arial" w:hAnsi="Arial" w:cs="Arial"/>
          <w:b/>
          <w:bCs/>
          <w:color w:val="auto"/>
          <w:sz w:val="22"/>
          <w:szCs w:val="22"/>
        </w:rPr>
        <w:t>Opodatkowanie nieruchomości w wybranych państwach europejskich</w:t>
      </w:r>
    </w:p>
    <w:p w14:paraId="613DB4F3" w14:textId="77777777" w:rsidR="00135577" w:rsidRPr="00FB158D" w:rsidRDefault="00135577" w:rsidP="00CD66BB">
      <w:pPr>
        <w:pStyle w:val="Bezodstpw"/>
        <w:spacing w:line="276" w:lineRule="auto"/>
        <w:rPr>
          <w:rFonts w:ascii="Arial" w:hAnsi="Arial" w:cs="Arial"/>
          <w:u w:val="single"/>
        </w:rPr>
      </w:pPr>
    </w:p>
    <w:p w14:paraId="032A516C" w14:textId="48BEF805" w:rsidR="00961667" w:rsidRPr="00FB158D" w:rsidRDefault="00135577" w:rsidP="00CD66BB">
      <w:pPr>
        <w:pStyle w:val="Bezodstpw"/>
        <w:spacing w:line="276" w:lineRule="auto"/>
        <w:rPr>
          <w:rFonts w:ascii="Arial" w:hAnsi="Arial" w:cs="Arial"/>
          <w:b/>
          <w:bCs/>
        </w:rPr>
      </w:pPr>
      <w:r w:rsidRPr="00FB158D">
        <w:rPr>
          <w:rFonts w:ascii="Arial" w:hAnsi="Arial" w:cs="Arial"/>
          <w:b/>
          <w:bCs/>
        </w:rPr>
        <w:t>Wprowadzenie</w:t>
      </w:r>
    </w:p>
    <w:p w14:paraId="098258B5" w14:textId="77777777" w:rsidR="00961667" w:rsidRPr="00FB158D" w:rsidRDefault="00961667" w:rsidP="00CD66BB">
      <w:pPr>
        <w:pStyle w:val="Bezodstpw"/>
        <w:spacing w:line="276" w:lineRule="auto"/>
        <w:ind w:firstLine="709"/>
        <w:rPr>
          <w:rFonts w:ascii="Arial" w:hAnsi="Arial" w:cs="Arial"/>
        </w:rPr>
      </w:pPr>
      <w:r w:rsidRPr="00FB158D">
        <w:rPr>
          <w:rFonts w:ascii="Arial" w:hAnsi="Arial" w:cs="Arial"/>
        </w:rPr>
        <w:t>W większości państw europejskich, w tym Polsce, funkcjonuje mniej lub bardziej skomplikowany system opodatkowania nieruchomości. Celem wystąpienia jest przybliżenie opodatkowania nieruchomości w trzech wybranych państwach europejskich, tj. Francja, Niemcy, Wielka Brytania.</w:t>
      </w:r>
    </w:p>
    <w:p w14:paraId="7A387FCC" w14:textId="77777777" w:rsidR="00FB158D" w:rsidRDefault="00FB158D" w:rsidP="00CD66BB">
      <w:pPr>
        <w:pStyle w:val="Bezodstpw"/>
        <w:spacing w:line="276" w:lineRule="auto"/>
        <w:rPr>
          <w:rFonts w:ascii="Arial" w:hAnsi="Arial" w:cs="Arial"/>
          <w:b/>
          <w:bCs/>
        </w:rPr>
      </w:pPr>
    </w:p>
    <w:p w14:paraId="6891BB45" w14:textId="09D98E65" w:rsidR="00961667" w:rsidRPr="00FB158D" w:rsidRDefault="00961667" w:rsidP="00CD66BB">
      <w:pPr>
        <w:pStyle w:val="Bezodstpw"/>
        <w:spacing w:line="276" w:lineRule="auto"/>
        <w:rPr>
          <w:rFonts w:ascii="Arial" w:hAnsi="Arial" w:cs="Arial"/>
          <w:b/>
          <w:bCs/>
        </w:rPr>
      </w:pPr>
      <w:r w:rsidRPr="00FB158D">
        <w:rPr>
          <w:rFonts w:ascii="Arial" w:hAnsi="Arial" w:cs="Arial"/>
          <w:b/>
          <w:bCs/>
        </w:rPr>
        <w:t>Francja</w:t>
      </w:r>
    </w:p>
    <w:p w14:paraId="39CA3AA5" w14:textId="5C624B5D" w:rsidR="00961667" w:rsidRPr="00FB158D" w:rsidRDefault="00961667"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t xml:space="preserve">We Francji </w:t>
      </w:r>
      <w:r w:rsidR="00135577" w:rsidRPr="00FB158D">
        <w:rPr>
          <w:rFonts w:ascii="Arial" w:eastAsia="MinionPro-Regular" w:hAnsi="Arial" w:cs="Arial"/>
          <w:color w:val="1D1D1B"/>
          <w:kern w:val="0"/>
        </w:rPr>
        <w:t>wprowadzono</w:t>
      </w:r>
      <w:r w:rsidRPr="00FB158D">
        <w:rPr>
          <w:rFonts w:ascii="Arial" w:eastAsia="MinionPro-Regular" w:hAnsi="Arial" w:cs="Arial"/>
          <w:color w:val="1D1D1B"/>
          <w:kern w:val="0"/>
        </w:rPr>
        <w:t xml:space="preserve"> odrębne opodatkowania nieruchomości zabudowanych i niezabudowanych. W systemie </w:t>
      </w:r>
      <w:r w:rsidR="00135577" w:rsidRPr="00FB158D">
        <w:rPr>
          <w:rFonts w:ascii="Arial" w:eastAsia="MinionPro-Regular" w:hAnsi="Arial" w:cs="Arial"/>
          <w:color w:val="1D1D1B"/>
          <w:kern w:val="0"/>
        </w:rPr>
        <w:t>opodatkowania nieruchomości</w:t>
      </w:r>
      <w:r w:rsidRPr="00FB158D">
        <w:rPr>
          <w:rFonts w:ascii="Arial" w:eastAsia="MinionPro-Regular" w:hAnsi="Arial" w:cs="Arial"/>
          <w:color w:val="1D1D1B"/>
          <w:kern w:val="0"/>
        </w:rPr>
        <w:t xml:space="preserve"> funkcjonują następujące</w:t>
      </w:r>
      <w:r w:rsidR="0083585C" w:rsidRPr="00FB158D">
        <w:rPr>
          <w:rFonts w:ascii="Arial" w:eastAsia="MinionPro-Regular" w:hAnsi="Arial" w:cs="Arial"/>
          <w:color w:val="1D1D1B"/>
          <w:kern w:val="0"/>
        </w:rPr>
        <w:t xml:space="preserve"> </w:t>
      </w:r>
      <w:r w:rsidRPr="00FB158D">
        <w:rPr>
          <w:rFonts w:ascii="Arial" w:eastAsia="MinionPro-Regular" w:hAnsi="Arial" w:cs="Arial"/>
          <w:color w:val="1D1D1B"/>
          <w:kern w:val="0"/>
        </w:rPr>
        <w:t>podatki:</w:t>
      </w:r>
    </w:p>
    <w:p w14:paraId="1E38AEC6" w14:textId="5A6E5A8B" w:rsidR="00961667" w:rsidRPr="00FB158D" w:rsidRDefault="00961667" w:rsidP="00CD66BB">
      <w:pPr>
        <w:pStyle w:val="Bezodstpw"/>
        <w:numPr>
          <w:ilvl w:val="0"/>
          <w:numId w:val="1"/>
        </w:numPr>
        <w:spacing w:line="276" w:lineRule="auto"/>
        <w:rPr>
          <w:rFonts w:ascii="Arial" w:eastAsia="MinionPro-Regular" w:hAnsi="Arial" w:cs="Arial"/>
          <w:color w:val="1D1D1B"/>
          <w:kern w:val="0"/>
        </w:rPr>
      </w:pPr>
      <w:r w:rsidRPr="00FB158D">
        <w:rPr>
          <w:rFonts w:ascii="Arial" w:eastAsia="MinionPro-Regular" w:hAnsi="Arial" w:cs="Arial"/>
          <w:color w:val="1D1D1B"/>
          <w:kern w:val="0"/>
        </w:rPr>
        <w:t>podatek od nieruchomości zabudowanych (</w:t>
      </w:r>
      <w:proofErr w:type="spellStart"/>
      <w:r w:rsidRPr="00FB158D">
        <w:rPr>
          <w:rFonts w:ascii="Arial" w:eastAsia="MinionPro-Regular" w:hAnsi="Arial" w:cs="Arial"/>
          <w:color w:val="1D1D1B"/>
          <w:kern w:val="0"/>
        </w:rPr>
        <w:t>taxe</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fonciere</w:t>
      </w:r>
      <w:proofErr w:type="spellEnd"/>
      <w:r w:rsidRPr="00FB158D">
        <w:rPr>
          <w:rFonts w:ascii="Arial" w:eastAsia="MinionPro-Regular" w:hAnsi="Arial" w:cs="Arial"/>
          <w:color w:val="1D1D1B"/>
          <w:kern w:val="0"/>
        </w:rPr>
        <w:t xml:space="preserve"> sur </w:t>
      </w:r>
      <w:proofErr w:type="spellStart"/>
      <w:r w:rsidRPr="00FB158D">
        <w:rPr>
          <w:rFonts w:ascii="Arial" w:eastAsia="MinionPro-Regular" w:hAnsi="Arial" w:cs="Arial"/>
          <w:color w:val="1D1D1B"/>
          <w:kern w:val="0"/>
        </w:rPr>
        <w:t>les</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propriétés</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bâties</w:t>
      </w:r>
      <w:proofErr w:type="spellEnd"/>
      <w:r w:rsidRPr="00FB158D">
        <w:rPr>
          <w:rFonts w:ascii="Arial" w:eastAsia="MinionPro-Regular" w:hAnsi="Arial" w:cs="Arial"/>
          <w:color w:val="1D1D1B"/>
          <w:kern w:val="0"/>
        </w:rPr>
        <w:t>);</w:t>
      </w:r>
    </w:p>
    <w:p w14:paraId="7F95ABCE" w14:textId="569468A7" w:rsidR="00961667" w:rsidRPr="00FB158D" w:rsidRDefault="00961667" w:rsidP="00CD66BB">
      <w:pPr>
        <w:pStyle w:val="Bezodstpw"/>
        <w:numPr>
          <w:ilvl w:val="0"/>
          <w:numId w:val="1"/>
        </w:numPr>
        <w:spacing w:line="276" w:lineRule="auto"/>
        <w:rPr>
          <w:rFonts w:ascii="Arial" w:eastAsia="MinionPro-Regular" w:hAnsi="Arial" w:cs="Arial"/>
          <w:color w:val="1D1D1B"/>
          <w:kern w:val="0"/>
        </w:rPr>
      </w:pPr>
      <w:r w:rsidRPr="00FB158D">
        <w:rPr>
          <w:rFonts w:ascii="Arial" w:eastAsia="MinionPro-Regular" w:hAnsi="Arial" w:cs="Arial"/>
          <w:color w:val="1D1D1B"/>
          <w:kern w:val="0"/>
        </w:rPr>
        <w:t>podatek od nieruchomości niezabudowanych (</w:t>
      </w:r>
      <w:proofErr w:type="spellStart"/>
      <w:r w:rsidRPr="00FB158D">
        <w:rPr>
          <w:rFonts w:ascii="Arial" w:eastAsia="MinionPro-Regular" w:hAnsi="Arial" w:cs="Arial"/>
          <w:color w:val="1D1D1B"/>
          <w:kern w:val="0"/>
        </w:rPr>
        <w:t>taxe</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fonciere</w:t>
      </w:r>
      <w:proofErr w:type="spellEnd"/>
      <w:r w:rsidRPr="00FB158D">
        <w:rPr>
          <w:rFonts w:ascii="Arial" w:eastAsia="MinionPro-Regular" w:hAnsi="Arial" w:cs="Arial"/>
          <w:color w:val="1D1D1B"/>
          <w:kern w:val="0"/>
        </w:rPr>
        <w:t xml:space="preserve"> sur </w:t>
      </w:r>
      <w:proofErr w:type="spellStart"/>
      <w:r w:rsidRPr="00FB158D">
        <w:rPr>
          <w:rFonts w:ascii="Arial" w:eastAsia="MinionPro-Regular" w:hAnsi="Arial" w:cs="Arial"/>
          <w:color w:val="1D1D1B"/>
          <w:kern w:val="0"/>
        </w:rPr>
        <w:t>les</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propriétés</w:t>
      </w:r>
      <w:proofErr w:type="spellEnd"/>
      <w:r w:rsidRPr="00FB158D">
        <w:rPr>
          <w:rFonts w:ascii="Arial" w:eastAsia="MinionPro-Regular" w:hAnsi="Arial" w:cs="Arial"/>
          <w:color w:val="1D1D1B"/>
          <w:kern w:val="0"/>
        </w:rPr>
        <w:t xml:space="preserve"> non </w:t>
      </w:r>
      <w:proofErr w:type="spellStart"/>
      <w:r w:rsidRPr="00FB158D">
        <w:rPr>
          <w:rFonts w:ascii="Arial" w:eastAsia="MinionPro-Regular" w:hAnsi="Arial" w:cs="Arial"/>
          <w:color w:val="1D1D1B"/>
          <w:kern w:val="0"/>
        </w:rPr>
        <w:t>bâties</w:t>
      </w:r>
      <w:proofErr w:type="spellEnd"/>
      <w:r w:rsidRPr="00FB158D">
        <w:rPr>
          <w:rFonts w:ascii="Arial" w:eastAsia="MinionPro-Regular" w:hAnsi="Arial" w:cs="Arial"/>
          <w:color w:val="1D1D1B"/>
          <w:kern w:val="0"/>
        </w:rPr>
        <w:t>);</w:t>
      </w:r>
    </w:p>
    <w:p w14:paraId="3E6A50EA" w14:textId="0AD18E13" w:rsidR="00961667" w:rsidRPr="00FB158D" w:rsidRDefault="00961667" w:rsidP="00CD66BB">
      <w:pPr>
        <w:pStyle w:val="Bezodstpw"/>
        <w:numPr>
          <w:ilvl w:val="0"/>
          <w:numId w:val="1"/>
        </w:numPr>
        <w:spacing w:line="276" w:lineRule="auto"/>
        <w:rPr>
          <w:rFonts w:ascii="Arial" w:eastAsia="MinionPro-Regular" w:hAnsi="Arial" w:cs="Arial"/>
          <w:color w:val="1D1D1B"/>
          <w:kern w:val="0"/>
        </w:rPr>
      </w:pPr>
      <w:r w:rsidRPr="00FB158D">
        <w:rPr>
          <w:rFonts w:ascii="Arial" w:eastAsia="MinionPro-Regular" w:hAnsi="Arial" w:cs="Arial"/>
          <w:color w:val="1D1D1B"/>
          <w:kern w:val="0"/>
        </w:rPr>
        <w:t>podatek dodatkowy do podatku od nieruchomości od nieruchomości niezabudowanych</w:t>
      </w:r>
      <w:r w:rsidR="00FB158D">
        <w:rPr>
          <w:rFonts w:ascii="Arial" w:eastAsia="MinionPro-Regular" w:hAnsi="Arial" w:cs="Arial"/>
          <w:color w:val="1D1D1B"/>
          <w:kern w:val="0"/>
        </w:rPr>
        <w:t xml:space="preserve"> </w:t>
      </w:r>
      <w:r w:rsidRPr="00FB158D">
        <w:rPr>
          <w:rFonts w:ascii="Arial" w:eastAsia="MinionPro-Regular" w:hAnsi="Arial" w:cs="Arial"/>
          <w:color w:val="1D1D1B"/>
          <w:kern w:val="0"/>
        </w:rPr>
        <w:t>(</w:t>
      </w:r>
      <w:proofErr w:type="spellStart"/>
      <w:r w:rsidRPr="00FB158D">
        <w:rPr>
          <w:rFonts w:ascii="Arial" w:eastAsia="MinionPro-Regular" w:hAnsi="Arial" w:cs="Arial"/>
          <w:color w:val="1D1D1B"/>
          <w:kern w:val="0"/>
        </w:rPr>
        <w:t>taxe</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additionnelle</w:t>
      </w:r>
      <w:proofErr w:type="spellEnd"/>
      <w:r w:rsidRPr="00FB158D">
        <w:rPr>
          <w:rFonts w:ascii="Arial" w:eastAsia="MinionPro-Regular" w:hAnsi="Arial" w:cs="Arial"/>
          <w:color w:val="1D1D1B"/>
          <w:kern w:val="0"/>
        </w:rPr>
        <w:t xml:space="preserve"> a la </w:t>
      </w:r>
      <w:proofErr w:type="spellStart"/>
      <w:r w:rsidRPr="00FB158D">
        <w:rPr>
          <w:rFonts w:ascii="Arial" w:eastAsia="MinionPro-Regular" w:hAnsi="Arial" w:cs="Arial"/>
          <w:color w:val="1D1D1B"/>
          <w:kern w:val="0"/>
        </w:rPr>
        <w:t>taxe</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fonciere</w:t>
      </w:r>
      <w:proofErr w:type="spellEnd"/>
      <w:r w:rsidRPr="00FB158D">
        <w:rPr>
          <w:rFonts w:ascii="Arial" w:eastAsia="MinionPro-Regular" w:hAnsi="Arial" w:cs="Arial"/>
          <w:color w:val="1D1D1B"/>
          <w:kern w:val="0"/>
        </w:rPr>
        <w:t xml:space="preserve"> sur </w:t>
      </w:r>
      <w:proofErr w:type="spellStart"/>
      <w:r w:rsidRPr="00FB158D">
        <w:rPr>
          <w:rFonts w:ascii="Arial" w:eastAsia="MinionPro-Regular" w:hAnsi="Arial" w:cs="Arial"/>
          <w:color w:val="1D1D1B"/>
          <w:kern w:val="0"/>
        </w:rPr>
        <w:t>les</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propriétés</w:t>
      </w:r>
      <w:proofErr w:type="spellEnd"/>
      <w:r w:rsidRPr="00FB158D">
        <w:rPr>
          <w:rFonts w:ascii="Arial" w:eastAsia="MinionPro-Regular" w:hAnsi="Arial" w:cs="Arial"/>
          <w:color w:val="1D1D1B"/>
          <w:kern w:val="0"/>
        </w:rPr>
        <w:t xml:space="preserve"> non </w:t>
      </w:r>
      <w:proofErr w:type="spellStart"/>
      <w:r w:rsidRPr="00FB158D">
        <w:rPr>
          <w:rFonts w:ascii="Arial" w:eastAsia="MinionPro-Regular" w:hAnsi="Arial" w:cs="Arial"/>
          <w:color w:val="1D1D1B"/>
          <w:kern w:val="0"/>
        </w:rPr>
        <w:t>bâties</w:t>
      </w:r>
      <w:proofErr w:type="spellEnd"/>
      <w:r w:rsidRPr="00FB158D">
        <w:rPr>
          <w:rFonts w:ascii="Arial" w:eastAsia="MinionPro-Regular" w:hAnsi="Arial" w:cs="Arial"/>
          <w:color w:val="1D1D1B"/>
          <w:kern w:val="0"/>
        </w:rPr>
        <w:t>);</w:t>
      </w:r>
    </w:p>
    <w:p w14:paraId="0FAEF322" w14:textId="2143A1CA" w:rsidR="00961667" w:rsidRPr="00FB158D" w:rsidRDefault="00961667" w:rsidP="00CD66BB">
      <w:pPr>
        <w:pStyle w:val="Bezodstpw"/>
        <w:numPr>
          <w:ilvl w:val="0"/>
          <w:numId w:val="1"/>
        </w:numPr>
        <w:spacing w:line="276" w:lineRule="auto"/>
        <w:rPr>
          <w:rFonts w:ascii="Arial" w:eastAsia="MinionPro-Regular" w:hAnsi="Arial" w:cs="Arial"/>
          <w:color w:val="1D1D1B"/>
          <w:kern w:val="0"/>
        </w:rPr>
      </w:pPr>
      <w:r w:rsidRPr="00FB158D">
        <w:rPr>
          <w:rFonts w:ascii="Arial" w:eastAsia="MinionPro-Regular" w:hAnsi="Arial" w:cs="Arial"/>
          <w:color w:val="1D1D1B"/>
          <w:kern w:val="0"/>
        </w:rPr>
        <w:t>podatek od nieruchomości dla przedsiębiorstw (</w:t>
      </w:r>
      <w:proofErr w:type="spellStart"/>
      <w:r w:rsidRPr="00FB158D">
        <w:rPr>
          <w:rFonts w:ascii="Arial" w:eastAsia="MinionPro-Regular" w:hAnsi="Arial" w:cs="Arial"/>
          <w:color w:val="1D1D1B"/>
          <w:kern w:val="0"/>
        </w:rPr>
        <w:t>cotisation</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fonciere</w:t>
      </w:r>
      <w:proofErr w:type="spellEnd"/>
      <w:r w:rsidRPr="00FB158D">
        <w:rPr>
          <w:rFonts w:ascii="Arial" w:eastAsia="MinionPro-Regular" w:hAnsi="Arial" w:cs="Arial"/>
          <w:color w:val="1D1D1B"/>
          <w:kern w:val="0"/>
        </w:rPr>
        <w:t xml:space="preserve"> des </w:t>
      </w:r>
      <w:proofErr w:type="spellStart"/>
      <w:r w:rsidRPr="00FB158D">
        <w:rPr>
          <w:rFonts w:ascii="Arial" w:eastAsia="MinionPro-Regular" w:hAnsi="Arial" w:cs="Arial"/>
          <w:color w:val="1D1D1B"/>
          <w:kern w:val="0"/>
        </w:rPr>
        <w:t>entreprises</w:t>
      </w:r>
      <w:proofErr w:type="spellEnd"/>
      <w:r w:rsidRPr="00FB158D">
        <w:rPr>
          <w:rFonts w:ascii="Arial" w:eastAsia="MinionPro-Regular" w:hAnsi="Arial" w:cs="Arial"/>
          <w:color w:val="1D1D1B"/>
          <w:kern w:val="0"/>
        </w:rPr>
        <w:t xml:space="preserve"> – CFE);</w:t>
      </w:r>
    </w:p>
    <w:p w14:paraId="45B215D3" w14:textId="43EBC3FF" w:rsidR="00961667" w:rsidRPr="00FB158D" w:rsidRDefault="00961667" w:rsidP="00CD66BB">
      <w:pPr>
        <w:pStyle w:val="Bezodstpw"/>
        <w:numPr>
          <w:ilvl w:val="0"/>
          <w:numId w:val="1"/>
        </w:numPr>
        <w:spacing w:line="276" w:lineRule="auto"/>
        <w:rPr>
          <w:rFonts w:ascii="Arial" w:eastAsia="MinionPro-Regular" w:hAnsi="Arial" w:cs="Arial"/>
          <w:color w:val="1D1D1B"/>
          <w:kern w:val="0"/>
        </w:rPr>
      </w:pPr>
      <w:r w:rsidRPr="00FB158D">
        <w:rPr>
          <w:rFonts w:ascii="Arial" w:eastAsia="MinionPro-Regular" w:hAnsi="Arial" w:cs="Arial"/>
          <w:color w:val="1D1D1B"/>
          <w:kern w:val="0"/>
        </w:rPr>
        <w:t>podatek mieszkaniowy (</w:t>
      </w:r>
      <w:proofErr w:type="spellStart"/>
      <w:r w:rsidRPr="00FB158D">
        <w:rPr>
          <w:rFonts w:ascii="Arial" w:eastAsia="MinionPro-Regular" w:hAnsi="Arial" w:cs="Arial"/>
          <w:color w:val="1D1D1B"/>
          <w:kern w:val="0"/>
        </w:rPr>
        <w:t>taxe</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d’habitation</w:t>
      </w:r>
      <w:proofErr w:type="spellEnd"/>
      <w:r w:rsidRPr="00FB158D">
        <w:rPr>
          <w:rFonts w:ascii="Arial" w:eastAsia="MinionPro-Regular" w:hAnsi="Arial" w:cs="Arial"/>
          <w:color w:val="1D1D1B"/>
          <w:kern w:val="0"/>
        </w:rPr>
        <w:t>);</w:t>
      </w:r>
    </w:p>
    <w:p w14:paraId="5BFC1B83" w14:textId="2E4ADC77" w:rsidR="00961667" w:rsidRPr="00FB158D" w:rsidRDefault="00961667" w:rsidP="00CD66BB">
      <w:pPr>
        <w:pStyle w:val="Bezodstpw"/>
        <w:numPr>
          <w:ilvl w:val="0"/>
          <w:numId w:val="1"/>
        </w:numPr>
        <w:spacing w:line="276" w:lineRule="auto"/>
        <w:rPr>
          <w:rFonts w:ascii="Arial" w:eastAsia="MinionPro-Regular" w:hAnsi="Arial" w:cs="Arial"/>
          <w:color w:val="1D1D1B"/>
          <w:kern w:val="0"/>
        </w:rPr>
      </w:pPr>
      <w:r w:rsidRPr="00FB158D">
        <w:rPr>
          <w:rFonts w:ascii="Arial" w:eastAsia="MinionPro-Regular" w:hAnsi="Arial" w:cs="Arial"/>
          <w:color w:val="1D1D1B"/>
          <w:kern w:val="0"/>
        </w:rPr>
        <w:t xml:space="preserve">podatek od </w:t>
      </w:r>
      <w:proofErr w:type="spellStart"/>
      <w:r w:rsidRPr="00FB158D">
        <w:rPr>
          <w:rFonts w:ascii="Arial" w:eastAsia="MinionPro-Regular" w:hAnsi="Arial" w:cs="Arial"/>
          <w:color w:val="1D1D1B"/>
          <w:kern w:val="0"/>
        </w:rPr>
        <w:t>pustostanow</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taxe</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annuelle</w:t>
      </w:r>
      <w:proofErr w:type="spellEnd"/>
      <w:r w:rsidRPr="00FB158D">
        <w:rPr>
          <w:rFonts w:ascii="Arial" w:eastAsia="MinionPro-Regular" w:hAnsi="Arial" w:cs="Arial"/>
          <w:color w:val="1D1D1B"/>
          <w:kern w:val="0"/>
        </w:rPr>
        <w:t xml:space="preserve"> sur </w:t>
      </w:r>
      <w:proofErr w:type="spellStart"/>
      <w:r w:rsidRPr="00FB158D">
        <w:rPr>
          <w:rFonts w:ascii="Arial" w:eastAsia="MinionPro-Regular" w:hAnsi="Arial" w:cs="Arial"/>
          <w:color w:val="1D1D1B"/>
          <w:kern w:val="0"/>
        </w:rPr>
        <w:t>les</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logements</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vacants</w:t>
      </w:r>
      <w:proofErr w:type="spellEnd"/>
      <w:r w:rsidRPr="00FB158D">
        <w:rPr>
          <w:rFonts w:ascii="Arial" w:eastAsia="MinionPro-Regular" w:hAnsi="Arial" w:cs="Arial"/>
          <w:color w:val="1D1D1B"/>
          <w:kern w:val="0"/>
        </w:rPr>
        <w:t>).</w:t>
      </w:r>
    </w:p>
    <w:p w14:paraId="4A05C1DA" w14:textId="05A71B1D" w:rsidR="00961667" w:rsidRPr="00FB158D" w:rsidRDefault="00961667"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t xml:space="preserve">Pierwsze dwa podatki oraz podatek dodatkowy do podatku od nieruchomości, są określane jako podatki własnościowe. Podatki te </w:t>
      </w:r>
      <w:r w:rsidR="00135577" w:rsidRPr="00FB158D">
        <w:rPr>
          <w:rFonts w:ascii="Arial" w:eastAsia="MinionPro-Regular" w:hAnsi="Arial" w:cs="Arial"/>
          <w:color w:val="1D1D1B"/>
          <w:kern w:val="0"/>
        </w:rPr>
        <w:t>stanowią dochód</w:t>
      </w:r>
      <w:r w:rsidRPr="00FB158D">
        <w:rPr>
          <w:rFonts w:ascii="Arial" w:eastAsia="MinionPro-Regular" w:hAnsi="Arial" w:cs="Arial"/>
          <w:color w:val="1D1D1B"/>
          <w:kern w:val="0"/>
        </w:rPr>
        <w:t xml:space="preserve"> gmin. Podatek od pustostanów jest podatkiem państwowym.</w:t>
      </w:r>
    </w:p>
    <w:p w14:paraId="191D8788" w14:textId="77777777" w:rsidR="00961667" w:rsidRPr="00FB158D" w:rsidRDefault="00961667"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t>Jedną z podstaw do obliczania podatku mieszkaniowego oraz podatku od nieruchomości jest wartość czynszowa, która w ogólnym ujęciu reprezentuje poziom teoretycznego czynszu rocznego (przychody z najmu), jaki dana nieruchomość mogłaby wygenerować, gdyby była wynajmowana.</w:t>
      </w:r>
    </w:p>
    <w:p w14:paraId="1DCE29B9" w14:textId="77777777" w:rsidR="0083585C" w:rsidRPr="00FB158D" w:rsidRDefault="0083585C"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t>Francuski system opodatkowania nieruchomości na tle rozwiązań przyjętych w innych państwach europejskich cechuje wysoki poziom skomplikowania.</w:t>
      </w:r>
    </w:p>
    <w:p w14:paraId="5B2298FD" w14:textId="77777777" w:rsidR="00FB158D" w:rsidRDefault="00FB158D" w:rsidP="00CD66BB">
      <w:pPr>
        <w:pStyle w:val="Bezodstpw"/>
        <w:spacing w:line="276" w:lineRule="auto"/>
        <w:rPr>
          <w:rFonts w:ascii="Arial" w:eastAsia="MinionPro-Regular" w:hAnsi="Arial" w:cs="Arial"/>
          <w:b/>
          <w:bCs/>
          <w:color w:val="1D1D1B"/>
          <w:kern w:val="0"/>
        </w:rPr>
      </w:pPr>
    </w:p>
    <w:p w14:paraId="2DB35936" w14:textId="648B9D68" w:rsidR="0083585C" w:rsidRPr="00FB158D" w:rsidRDefault="0083585C" w:rsidP="00CD66BB">
      <w:pPr>
        <w:pStyle w:val="Bezodstpw"/>
        <w:spacing w:line="276" w:lineRule="auto"/>
        <w:rPr>
          <w:rFonts w:ascii="Arial" w:eastAsia="MinionPro-Regular" w:hAnsi="Arial" w:cs="Arial"/>
          <w:b/>
          <w:bCs/>
          <w:color w:val="1D1D1B"/>
          <w:kern w:val="0"/>
        </w:rPr>
      </w:pPr>
      <w:r w:rsidRPr="00FB158D">
        <w:rPr>
          <w:rFonts w:ascii="Arial" w:eastAsia="MinionPro-Regular" w:hAnsi="Arial" w:cs="Arial"/>
          <w:b/>
          <w:bCs/>
          <w:color w:val="1D1D1B"/>
          <w:kern w:val="0"/>
        </w:rPr>
        <w:t>Niemcy</w:t>
      </w:r>
    </w:p>
    <w:p w14:paraId="3D42BF0C" w14:textId="0E2D1825" w:rsidR="0083585C" w:rsidRDefault="0083585C"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t>W Niemczech przyjęto model opodatkowania nieruchomości wykorzystujący wartość nieruchomości oszacowywaną przez organ podatkowy, uwzględniającą takie zmienne jak m.in. typ zabudowy, pozostały czas użytkowania budynku, powierzchnię gruntu, powierzchnię użytkową, rok zakończenia budowy budynku.</w:t>
      </w:r>
      <w:r w:rsidR="00820C41" w:rsidRPr="00FB158D">
        <w:rPr>
          <w:rFonts w:ascii="Arial" w:eastAsia="MinionPro-Regular" w:hAnsi="Arial" w:cs="Arial"/>
          <w:color w:val="1D1D1B"/>
          <w:kern w:val="0"/>
        </w:rPr>
        <w:t xml:space="preserve"> Celem ustalenia kwoty podatku</w:t>
      </w:r>
      <w:r w:rsidRPr="00FB158D">
        <w:rPr>
          <w:rFonts w:ascii="Arial" w:eastAsia="MinionPro-Regular" w:hAnsi="Arial" w:cs="Arial"/>
          <w:color w:val="1D1D1B"/>
          <w:kern w:val="0"/>
        </w:rPr>
        <w:t xml:space="preserve">, wartość </w:t>
      </w:r>
      <w:r w:rsidR="00820C41" w:rsidRPr="00FB158D">
        <w:rPr>
          <w:rFonts w:ascii="Arial" w:eastAsia="MinionPro-Regular" w:hAnsi="Arial" w:cs="Arial"/>
          <w:color w:val="1D1D1B"/>
          <w:kern w:val="0"/>
        </w:rPr>
        <w:t xml:space="preserve">nieruchomości </w:t>
      </w:r>
      <w:r w:rsidRPr="00FB158D">
        <w:rPr>
          <w:rFonts w:ascii="Arial" w:eastAsia="MinionPro-Regular" w:hAnsi="Arial" w:cs="Arial"/>
          <w:color w:val="1D1D1B"/>
          <w:kern w:val="0"/>
        </w:rPr>
        <w:t>podlega przemnożeniu przez odpowiednie stawki podatku oraz stawkę wymiaru wskazaną przez daną gminę.</w:t>
      </w:r>
      <w:r w:rsidR="00820C41" w:rsidRPr="00FB158D">
        <w:rPr>
          <w:rFonts w:ascii="Arial" w:eastAsia="MinionPro-Regular" w:hAnsi="Arial" w:cs="Arial"/>
          <w:color w:val="1D1D1B"/>
          <w:kern w:val="0"/>
        </w:rPr>
        <w:t xml:space="preserve"> </w:t>
      </w:r>
      <w:r w:rsidRPr="00FB158D">
        <w:rPr>
          <w:rFonts w:ascii="Arial" w:eastAsia="MinionPro-Regular" w:hAnsi="Arial" w:cs="Arial"/>
          <w:color w:val="1D1D1B"/>
          <w:kern w:val="0"/>
        </w:rPr>
        <w:t>W Niemczech dopuszcza się możliwość zastosowania innego systemu opodatkowania nieruchomości w krajach związkowych. Niektóre z krajów związkowych skorzystały z tego uprawnienia wprowadzając zmodyfikowane wersje systemu federalnego.</w:t>
      </w:r>
    </w:p>
    <w:p w14:paraId="0766557C" w14:textId="77777777" w:rsidR="00FB158D" w:rsidRPr="00FB158D" w:rsidRDefault="00FB158D" w:rsidP="00CD66BB">
      <w:pPr>
        <w:pStyle w:val="Bezodstpw"/>
        <w:spacing w:line="276" w:lineRule="auto"/>
        <w:ind w:firstLine="709"/>
        <w:rPr>
          <w:rFonts w:ascii="Arial" w:eastAsia="MinionPro-Regular" w:hAnsi="Arial" w:cs="Arial"/>
          <w:color w:val="1D1D1B"/>
          <w:kern w:val="0"/>
        </w:rPr>
      </w:pPr>
    </w:p>
    <w:p w14:paraId="7E4A71A0" w14:textId="77777777" w:rsidR="0083585C" w:rsidRPr="00FB158D" w:rsidRDefault="0083585C" w:rsidP="00CD66BB">
      <w:pPr>
        <w:pStyle w:val="Bezodstpw"/>
        <w:spacing w:line="276" w:lineRule="auto"/>
        <w:rPr>
          <w:rFonts w:ascii="Arial" w:eastAsia="MinionPro-Regular" w:hAnsi="Arial" w:cs="Arial"/>
          <w:b/>
          <w:bCs/>
          <w:color w:val="1D1D1B"/>
          <w:kern w:val="0"/>
        </w:rPr>
      </w:pPr>
      <w:r w:rsidRPr="00FB158D">
        <w:rPr>
          <w:rFonts w:ascii="Arial" w:eastAsia="MinionPro-Regular" w:hAnsi="Arial" w:cs="Arial"/>
          <w:b/>
          <w:bCs/>
          <w:color w:val="1D1D1B"/>
          <w:kern w:val="0"/>
        </w:rPr>
        <w:t>Wielka Brytania</w:t>
      </w:r>
    </w:p>
    <w:p w14:paraId="72536316" w14:textId="4118FFAF" w:rsidR="00135577" w:rsidRPr="00FB158D" w:rsidRDefault="00135577"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lastRenderedPageBreak/>
        <w:t>W Wielkiej Brytanii są dwa podatki od nieruchomości. Pierwszy z nich, nazywany podatkiem lokalnym (</w:t>
      </w:r>
      <w:proofErr w:type="spellStart"/>
      <w:r w:rsidRPr="00FB158D">
        <w:rPr>
          <w:rFonts w:ascii="Arial" w:eastAsia="MinionPro-Regular" w:hAnsi="Arial" w:cs="Arial"/>
          <w:color w:val="1D1D1B"/>
          <w:kern w:val="0"/>
        </w:rPr>
        <w:t>council</w:t>
      </w:r>
      <w:proofErr w:type="spellEnd"/>
      <w:r w:rsidRPr="00FB158D">
        <w:rPr>
          <w:rFonts w:ascii="Arial" w:eastAsia="MinionPro-Regular" w:hAnsi="Arial" w:cs="Arial"/>
          <w:color w:val="1D1D1B"/>
          <w:kern w:val="0"/>
        </w:rPr>
        <w:t xml:space="preserve"> </w:t>
      </w:r>
      <w:proofErr w:type="spellStart"/>
      <w:r w:rsidRPr="00FB158D">
        <w:rPr>
          <w:rFonts w:ascii="Arial" w:eastAsia="MinionPro-Regular" w:hAnsi="Arial" w:cs="Arial"/>
          <w:color w:val="1D1D1B"/>
          <w:kern w:val="0"/>
        </w:rPr>
        <w:t>tax</w:t>
      </w:r>
      <w:proofErr w:type="spellEnd"/>
      <w:r w:rsidRPr="00FB158D">
        <w:rPr>
          <w:rFonts w:ascii="Arial" w:eastAsia="MinionPro-Regular" w:hAnsi="Arial" w:cs="Arial"/>
          <w:color w:val="1D1D1B"/>
          <w:kern w:val="0"/>
        </w:rPr>
        <w:t>) jest podatkiem od nieruchomości mieszkalnych i obowiązuje tylko w Anglii, Walii i Szkocji.</w:t>
      </w:r>
      <w:r w:rsidR="00820C41" w:rsidRPr="00FB158D">
        <w:rPr>
          <w:rFonts w:ascii="Arial" w:eastAsia="MinionPro-Regular" w:hAnsi="Arial" w:cs="Arial"/>
          <w:color w:val="1D1D1B"/>
          <w:kern w:val="0"/>
        </w:rPr>
        <w:t xml:space="preserve"> </w:t>
      </w:r>
      <w:r w:rsidRPr="00FB158D">
        <w:rPr>
          <w:rFonts w:ascii="Arial" w:eastAsia="MinionPro-Regular" w:hAnsi="Arial" w:cs="Arial"/>
          <w:color w:val="1D1D1B"/>
          <w:kern w:val="0"/>
        </w:rPr>
        <w:t>Ustalaniem wysokości stawek podatku i jego poborem oraz przyznawaniem ulg i zwolnień zajmują się władze samorządowe.</w:t>
      </w:r>
      <w:r w:rsidR="00820C41" w:rsidRPr="00FB158D">
        <w:rPr>
          <w:rFonts w:ascii="Arial" w:eastAsia="MinionPro-Regular" w:hAnsi="Arial" w:cs="Arial"/>
          <w:color w:val="1D1D1B"/>
          <w:kern w:val="0"/>
        </w:rPr>
        <w:t xml:space="preserve"> </w:t>
      </w:r>
      <w:r w:rsidRPr="00FB158D">
        <w:rPr>
          <w:rFonts w:ascii="Arial" w:eastAsia="MinionPro-Regular" w:hAnsi="Arial" w:cs="Arial"/>
          <w:color w:val="1D1D1B"/>
          <w:kern w:val="0"/>
        </w:rPr>
        <w:t>Wysokość podatku uzależniona jest przede wszystkim od wyceny nieruchomości, która skutkuje zaliczeniem jej do odpowiedniego przedziału podatkowego, oraz stawek ustalanych przez władze lokalne.</w:t>
      </w:r>
    </w:p>
    <w:p w14:paraId="60CC30E9" w14:textId="77777777" w:rsidR="00FB158D" w:rsidRDefault="00FB158D" w:rsidP="00CD66BB">
      <w:pPr>
        <w:pStyle w:val="Bezodstpw"/>
        <w:spacing w:line="276" w:lineRule="auto"/>
        <w:rPr>
          <w:rFonts w:ascii="Arial" w:eastAsia="MinionPro-Regular" w:hAnsi="Arial" w:cs="Arial"/>
          <w:color w:val="1D1D1B"/>
          <w:kern w:val="0"/>
          <w:u w:val="single"/>
        </w:rPr>
      </w:pPr>
    </w:p>
    <w:p w14:paraId="7F30EAB0" w14:textId="7BEA264C" w:rsidR="00135577" w:rsidRPr="00FB158D" w:rsidRDefault="00135577" w:rsidP="00CD66BB">
      <w:pPr>
        <w:pStyle w:val="Bezodstpw"/>
        <w:spacing w:line="276" w:lineRule="auto"/>
        <w:rPr>
          <w:rFonts w:ascii="Arial" w:eastAsia="MinionPro-Regular" w:hAnsi="Arial" w:cs="Arial"/>
          <w:b/>
          <w:bCs/>
          <w:color w:val="1D1D1B"/>
          <w:kern w:val="0"/>
        </w:rPr>
      </w:pPr>
      <w:r w:rsidRPr="00FB158D">
        <w:rPr>
          <w:rFonts w:ascii="Arial" w:eastAsia="MinionPro-Regular" w:hAnsi="Arial" w:cs="Arial"/>
          <w:b/>
          <w:bCs/>
          <w:color w:val="1D1D1B"/>
          <w:kern w:val="0"/>
        </w:rPr>
        <w:t>Podsumowanie</w:t>
      </w:r>
    </w:p>
    <w:p w14:paraId="43BFBDFA" w14:textId="609EBA43" w:rsidR="00135577" w:rsidRPr="00FB158D" w:rsidRDefault="00135577" w:rsidP="00CD66BB">
      <w:pPr>
        <w:pStyle w:val="Bezodstpw"/>
        <w:spacing w:line="276" w:lineRule="auto"/>
        <w:ind w:firstLine="709"/>
        <w:rPr>
          <w:rFonts w:ascii="Arial" w:eastAsia="MinionPro-Regular" w:hAnsi="Arial" w:cs="Arial"/>
          <w:color w:val="1D1D1B"/>
          <w:kern w:val="0"/>
        </w:rPr>
      </w:pPr>
      <w:r w:rsidRPr="00FB158D">
        <w:rPr>
          <w:rFonts w:ascii="Arial" w:eastAsia="MinionPro-Regular" w:hAnsi="Arial" w:cs="Arial"/>
          <w:color w:val="1D1D1B"/>
          <w:kern w:val="0"/>
        </w:rPr>
        <w:t>Zaprezentowane systemy opodatkowania nieruchomości wykazują pewne różnice, które zostaną przedstawione w podsumowaniu wystąpienia.</w:t>
      </w:r>
    </w:p>
    <w:sectPr w:rsidR="00135577" w:rsidRPr="00FB1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20CF"/>
    <w:multiLevelType w:val="hybridMultilevel"/>
    <w:tmpl w:val="D16CD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20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67"/>
    <w:rsid w:val="00131F0C"/>
    <w:rsid w:val="00135577"/>
    <w:rsid w:val="003103D7"/>
    <w:rsid w:val="00820C41"/>
    <w:rsid w:val="0083585C"/>
    <w:rsid w:val="00961667"/>
    <w:rsid w:val="009864D8"/>
    <w:rsid w:val="00CD66BB"/>
    <w:rsid w:val="00E37B7A"/>
    <w:rsid w:val="00FB1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AFE0"/>
  <w15:chartTrackingRefBased/>
  <w15:docId w15:val="{FF1ABA99-5365-41C1-ADCC-D20D8592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D66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158D"/>
    <w:pPr>
      <w:spacing w:after="0" w:line="240" w:lineRule="auto"/>
    </w:pPr>
  </w:style>
  <w:style w:type="character" w:customStyle="1" w:styleId="Nagwek1Znak">
    <w:name w:val="Nagłówek 1 Znak"/>
    <w:basedOn w:val="Domylnaczcionkaakapitu"/>
    <w:link w:val="Nagwek1"/>
    <w:uiPriority w:val="9"/>
    <w:rsid w:val="00CD66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Mańczyk</dc:creator>
  <cp:keywords/>
  <dc:description/>
  <cp:lastModifiedBy>Bartłomiej Suchodolski</cp:lastModifiedBy>
  <cp:revision>9</cp:revision>
  <dcterms:created xsi:type="dcterms:W3CDTF">2023-08-28T19:56:00Z</dcterms:created>
  <dcterms:modified xsi:type="dcterms:W3CDTF">2023-11-19T13:20:00Z</dcterms:modified>
</cp:coreProperties>
</file>