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7D5DB" w14:textId="08251DFA" w:rsidR="00B336AE" w:rsidRPr="00324CC7" w:rsidRDefault="00324CC7" w:rsidP="00013C4F">
      <w:pPr>
        <w:pStyle w:val="Bezodstpw"/>
        <w:spacing w:line="276" w:lineRule="auto"/>
        <w:rPr>
          <w:rFonts w:ascii="Arial" w:hAnsi="Arial" w:cs="Arial"/>
        </w:rPr>
      </w:pPr>
      <w:r>
        <w:rPr>
          <w:rFonts w:ascii="Arial" w:hAnsi="Arial" w:cs="Arial"/>
        </w:rPr>
        <w:t>d</w:t>
      </w:r>
      <w:r w:rsidR="00B336AE" w:rsidRPr="00324CC7">
        <w:rPr>
          <w:rFonts w:ascii="Arial" w:hAnsi="Arial" w:cs="Arial"/>
        </w:rPr>
        <w:t>r Szymon Obuchowski</w:t>
      </w:r>
    </w:p>
    <w:p w14:paraId="605DBC78" w14:textId="77777777" w:rsidR="00324CC7" w:rsidRPr="00324CC7" w:rsidRDefault="00B336AE" w:rsidP="00013C4F">
      <w:pPr>
        <w:pStyle w:val="Bezodstpw"/>
        <w:spacing w:line="276" w:lineRule="auto"/>
        <w:rPr>
          <w:rFonts w:ascii="Arial" w:hAnsi="Arial" w:cs="Arial"/>
        </w:rPr>
      </w:pPr>
      <w:r w:rsidRPr="00324CC7">
        <w:rPr>
          <w:rFonts w:ascii="Arial" w:hAnsi="Arial" w:cs="Arial"/>
        </w:rPr>
        <w:t>Katedra Prawa Finansowego</w:t>
      </w:r>
    </w:p>
    <w:p w14:paraId="51A161AE" w14:textId="77777777" w:rsidR="00324CC7" w:rsidRPr="00324CC7" w:rsidRDefault="00B336AE" w:rsidP="00013C4F">
      <w:pPr>
        <w:pStyle w:val="Bezodstpw"/>
        <w:spacing w:line="276" w:lineRule="auto"/>
        <w:rPr>
          <w:rFonts w:ascii="Arial" w:hAnsi="Arial" w:cs="Arial"/>
        </w:rPr>
      </w:pPr>
      <w:r w:rsidRPr="00324CC7">
        <w:rPr>
          <w:rFonts w:ascii="Arial" w:hAnsi="Arial" w:cs="Arial"/>
        </w:rPr>
        <w:t>Wydział Prawa i Administracji</w:t>
      </w:r>
    </w:p>
    <w:p w14:paraId="44E206C7" w14:textId="2E782147" w:rsidR="00B336AE" w:rsidRPr="00324CC7" w:rsidRDefault="00B336AE" w:rsidP="00013C4F">
      <w:pPr>
        <w:pStyle w:val="Bezodstpw"/>
        <w:spacing w:line="276" w:lineRule="auto"/>
        <w:rPr>
          <w:rFonts w:ascii="Arial" w:hAnsi="Arial" w:cs="Arial"/>
        </w:rPr>
      </w:pPr>
      <w:r w:rsidRPr="00324CC7">
        <w:rPr>
          <w:rFonts w:ascii="Arial" w:hAnsi="Arial" w:cs="Arial"/>
        </w:rPr>
        <w:t>Uniwersytet Gdański</w:t>
      </w:r>
    </w:p>
    <w:p w14:paraId="56914560" w14:textId="77777777" w:rsidR="00B336AE" w:rsidRPr="00324CC7" w:rsidRDefault="00B336AE" w:rsidP="00013C4F">
      <w:pPr>
        <w:pStyle w:val="Bezodstpw"/>
        <w:spacing w:line="276" w:lineRule="auto"/>
        <w:rPr>
          <w:rFonts w:ascii="Arial" w:hAnsi="Arial" w:cs="Arial"/>
        </w:rPr>
      </w:pPr>
    </w:p>
    <w:p w14:paraId="1C77C9FC" w14:textId="3B87D9F9" w:rsidR="00B336AE" w:rsidRPr="00013C4F" w:rsidRDefault="00B336AE" w:rsidP="00013C4F">
      <w:pPr>
        <w:pStyle w:val="Nagwek1"/>
        <w:spacing w:before="0" w:line="276" w:lineRule="auto"/>
        <w:rPr>
          <w:rFonts w:ascii="Arial" w:hAnsi="Arial" w:cs="Arial"/>
          <w:b/>
          <w:bCs/>
          <w:color w:val="auto"/>
          <w:sz w:val="22"/>
          <w:szCs w:val="22"/>
        </w:rPr>
      </w:pPr>
      <w:proofErr w:type="spellStart"/>
      <w:r w:rsidRPr="00013C4F">
        <w:rPr>
          <w:rFonts w:ascii="Arial" w:hAnsi="Arial" w:cs="Arial"/>
          <w:b/>
          <w:bCs/>
          <w:i/>
          <w:iCs/>
          <w:color w:val="auto"/>
          <w:sz w:val="22"/>
          <w:szCs w:val="22"/>
        </w:rPr>
        <w:t>İmece</w:t>
      </w:r>
      <w:proofErr w:type="spellEnd"/>
      <w:r w:rsidRPr="00013C4F">
        <w:rPr>
          <w:rFonts w:ascii="Arial" w:hAnsi="Arial" w:cs="Arial"/>
          <w:b/>
          <w:bCs/>
          <w:color w:val="auto"/>
          <w:sz w:val="22"/>
          <w:szCs w:val="22"/>
        </w:rPr>
        <w:t xml:space="preserve"> jako danina osobista w tureckim systemie finansów jednostek samorządu lokalnego</w:t>
      </w:r>
    </w:p>
    <w:p w14:paraId="733F2F54" w14:textId="77777777" w:rsidR="00324CC7" w:rsidRPr="00324CC7" w:rsidRDefault="00324CC7" w:rsidP="00013C4F">
      <w:pPr>
        <w:pStyle w:val="Bezodstpw"/>
        <w:spacing w:line="276" w:lineRule="auto"/>
        <w:rPr>
          <w:rFonts w:ascii="Arial" w:hAnsi="Arial" w:cs="Arial"/>
          <w:b/>
          <w:bCs/>
        </w:rPr>
      </w:pPr>
    </w:p>
    <w:p w14:paraId="733E522B" w14:textId="1E1F4879" w:rsidR="00AB1184" w:rsidRPr="00324CC7" w:rsidRDefault="00CC0783" w:rsidP="00013C4F">
      <w:pPr>
        <w:pStyle w:val="Bezodstpw"/>
        <w:spacing w:line="276" w:lineRule="auto"/>
        <w:ind w:firstLine="709"/>
        <w:rPr>
          <w:rFonts w:ascii="Arial" w:hAnsi="Arial" w:cs="Arial"/>
        </w:rPr>
      </w:pPr>
      <w:r w:rsidRPr="00324CC7">
        <w:rPr>
          <w:rFonts w:ascii="Arial" w:hAnsi="Arial" w:cs="Arial"/>
        </w:rPr>
        <w:t>Wystąpienie dotyczyć będzie instytucji prawa finansowego samorządu lokalnego w Turcji, jaką jest danina znana jako „</w:t>
      </w:r>
      <w:proofErr w:type="spellStart"/>
      <w:r w:rsidRPr="00324CC7">
        <w:rPr>
          <w:rFonts w:ascii="Arial" w:hAnsi="Arial" w:cs="Arial"/>
        </w:rPr>
        <w:t>imece</w:t>
      </w:r>
      <w:proofErr w:type="spellEnd"/>
      <w:r w:rsidRPr="00324CC7">
        <w:rPr>
          <w:rFonts w:ascii="Arial" w:hAnsi="Arial" w:cs="Arial"/>
        </w:rPr>
        <w:t>”. Wywodząc się z tradycji społecznych Anatolii sięgających XIII wieku dotyczących społecznej współpracy lokalnych wspólnot przy pracach rolnych, stanowi ona (obok daniny pieniężnej zwanej „</w:t>
      </w:r>
      <w:proofErr w:type="spellStart"/>
      <w:r w:rsidRPr="00324CC7">
        <w:rPr>
          <w:rFonts w:ascii="Arial" w:hAnsi="Arial" w:cs="Arial"/>
        </w:rPr>
        <w:t>salma</w:t>
      </w:r>
      <w:proofErr w:type="spellEnd"/>
      <w:r w:rsidRPr="00324CC7">
        <w:rPr>
          <w:rFonts w:ascii="Arial" w:hAnsi="Arial" w:cs="Arial"/>
        </w:rPr>
        <w:t>”) jedno z dwóch podstawowych źródeł dochodów własnych najmniejszych jednostek samorządu terytorialnego przewidzianych w prawie tureckim, jakimi są wioski.</w:t>
      </w:r>
    </w:p>
    <w:p w14:paraId="4B9F5551" w14:textId="33EFB4D6" w:rsidR="00CC0783" w:rsidRPr="00324CC7" w:rsidRDefault="00CC0783" w:rsidP="00013C4F">
      <w:pPr>
        <w:pStyle w:val="Bezodstpw"/>
        <w:spacing w:line="276" w:lineRule="auto"/>
        <w:ind w:firstLine="709"/>
        <w:rPr>
          <w:rFonts w:ascii="Arial" w:hAnsi="Arial" w:cs="Arial"/>
        </w:rPr>
      </w:pPr>
      <w:proofErr w:type="spellStart"/>
      <w:r w:rsidRPr="00324CC7">
        <w:rPr>
          <w:rFonts w:ascii="Arial" w:hAnsi="Arial" w:cs="Arial"/>
        </w:rPr>
        <w:t>Imece</w:t>
      </w:r>
      <w:proofErr w:type="spellEnd"/>
      <w:r w:rsidRPr="00324CC7">
        <w:rPr>
          <w:rFonts w:ascii="Arial" w:hAnsi="Arial" w:cs="Arial"/>
        </w:rPr>
        <w:t xml:space="preserve"> wyróżnia się szczególną konstrukcją prawną. Pozostając instytucją prawa finansowego, zachowuje charakter osobowy, co czyni ją wyjątkiem w skali Europy, gdzie od dawna daniny publiczne stanowiące dochody własne związków publicznoprawnych mają w przeważającej większości charakter pieniężny. W związku ze zmianami społecznymi, które zaszły w Turcji w ciągu XX wieku, instytucja ta staje się coraz bardziej archaiczna. Ze względu jednak na fakt, iż wciąż pozostaje elementem prawa finansowego samorządu terytorialnego w Turcji, zasługuje na analizę, jako swoisty wzór dla rozwiązań, które mogłyby stanowić odpowiedź na wiele problemów współczesnej gospodarki rynkowej, w szczególności w kontekście wyzwań społecznych obserwowanych w ostatnich latach także w Polsce.</w:t>
      </w:r>
    </w:p>
    <w:p w14:paraId="2BB9A48A" w14:textId="372D3597" w:rsidR="00CA256E" w:rsidRDefault="00CC0783" w:rsidP="00013C4F">
      <w:pPr>
        <w:pStyle w:val="Bezodstpw"/>
        <w:spacing w:line="276" w:lineRule="auto"/>
        <w:ind w:firstLine="709"/>
        <w:rPr>
          <w:rFonts w:ascii="Arial" w:hAnsi="Arial" w:cs="Arial"/>
        </w:rPr>
      </w:pPr>
      <w:r w:rsidRPr="00324CC7">
        <w:rPr>
          <w:rFonts w:ascii="Arial" w:hAnsi="Arial" w:cs="Arial"/>
        </w:rPr>
        <w:t>W referacie przedstawiono, z jakimi prądami myśli społecznej w Turcji wiąże się instytucję, wyjaśniając pokrótce jej pochodzenie oraz podejmując próbę umieszczenia jej na szerszym tle społeczeństwa, w prawie którego się wykształciła. Zaprezentowano także jej konstrukcję prawną, z uwzględnieniem roli, jaką pełni w szerszym systemie ustroju administracyjnego i finansowego samorządu lokalnego w Turcji oraz w odniesieniu do pojęć teorii prawa finansowego pozwalających ją scharakteryzować i uchwycić jej wyjątkowy charakter. W podsumowaniu w charakterze wniosków przedstawiono możliwe kierunki dalszych badań, w których wiedza o jej konstrukcji prawnej może być uznana za cenny „zasób wiedzy instytucjonalnej”.</w:t>
      </w:r>
    </w:p>
    <w:p w14:paraId="6FA2B0A5" w14:textId="77777777" w:rsidR="00324CC7" w:rsidRPr="00324CC7" w:rsidRDefault="00324CC7" w:rsidP="00013C4F">
      <w:pPr>
        <w:pStyle w:val="Bezodstpw"/>
        <w:spacing w:line="276" w:lineRule="auto"/>
        <w:rPr>
          <w:rFonts w:ascii="Arial" w:hAnsi="Arial" w:cs="Arial"/>
        </w:rPr>
      </w:pPr>
    </w:p>
    <w:p w14:paraId="33FB73C7" w14:textId="27D183CA" w:rsidR="00B336AE" w:rsidRPr="00013C4F" w:rsidRDefault="00B336AE" w:rsidP="00013C4F">
      <w:pPr>
        <w:pStyle w:val="Nagwek1"/>
        <w:spacing w:before="0" w:line="276" w:lineRule="auto"/>
        <w:rPr>
          <w:rFonts w:ascii="Arial" w:hAnsi="Arial" w:cs="Arial"/>
          <w:b/>
          <w:bCs/>
          <w:lang w:val="en-GB"/>
        </w:rPr>
      </w:pPr>
      <w:proofErr w:type="spellStart"/>
      <w:r w:rsidRPr="00013C4F">
        <w:rPr>
          <w:rFonts w:ascii="Arial" w:hAnsi="Arial" w:cs="Arial"/>
          <w:b/>
          <w:bCs/>
          <w:i/>
          <w:iCs/>
          <w:color w:val="auto"/>
          <w:sz w:val="22"/>
          <w:szCs w:val="22"/>
          <w:lang w:val="en-GB"/>
        </w:rPr>
        <w:t>İmece</w:t>
      </w:r>
      <w:proofErr w:type="spellEnd"/>
      <w:r w:rsidRPr="00013C4F">
        <w:rPr>
          <w:rFonts w:ascii="Arial" w:hAnsi="Arial" w:cs="Arial"/>
          <w:b/>
          <w:bCs/>
          <w:color w:val="auto"/>
          <w:sz w:val="22"/>
          <w:szCs w:val="22"/>
          <w:lang w:val="en-GB"/>
        </w:rPr>
        <w:t xml:space="preserve"> as a personal tribute in the Turkish local government financial system</w:t>
      </w:r>
    </w:p>
    <w:p w14:paraId="21D318DA" w14:textId="77777777" w:rsidR="00324CC7" w:rsidRPr="00324CC7" w:rsidRDefault="00324CC7" w:rsidP="00013C4F">
      <w:pPr>
        <w:pStyle w:val="Bezodstpw"/>
        <w:spacing w:line="276" w:lineRule="auto"/>
        <w:rPr>
          <w:rFonts w:ascii="Arial" w:hAnsi="Arial" w:cs="Arial"/>
          <w:b/>
          <w:bCs/>
          <w:lang w:val="en-GB"/>
        </w:rPr>
      </w:pPr>
    </w:p>
    <w:p w14:paraId="50955DED" w14:textId="77777777" w:rsidR="00B336AE" w:rsidRPr="00324CC7" w:rsidRDefault="00B336AE" w:rsidP="00013C4F">
      <w:pPr>
        <w:pStyle w:val="Bezodstpw"/>
        <w:spacing w:line="276" w:lineRule="auto"/>
        <w:ind w:firstLine="709"/>
        <w:rPr>
          <w:rFonts w:ascii="Arial" w:hAnsi="Arial" w:cs="Arial"/>
          <w:lang w:val="en-GB"/>
        </w:rPr>
      </w:pPr>
      <w:r w:rsidRPr="00324CC7">
        <w:rPr>
          <w:rFonts w:ascii="Arial" w:hAnsi="Arial" w:cs="Arial"/>
          <w:lang w:val="en-GB"/>
        </w:rPr>
        <w:t xml:space="preserve">The presentation will deal with the local government financial law institution in </w:t>
      </w:r>
      <w:proofErr w:type="spellStart"/>
      <w:r w:rsidRPr="00324CC7">
        <w:rPr>
          <w:rFonts w:ascii="Arial" w:hAnsi="Arial" w:cs="Arial"/>
          <w:lang w:val="en-GB"/>
        </w:rPr>
        <w:t>Turkiye</w:t>
      </w:r>
      <w:proofErr w:type="spellEnd"/>
      <w:r w:rsidRPr="00324CC7">
        <w:rPr>
          <w:rFonts w:ascii="Arial" w:hAnsi="Arial" w:cs="Arial"/>
          <w:lang w:val="en-GB"/>
        </w:rPr>
        <w:t xml:space="preserve"> -  the tribute known as '</w:t>
      </w:r>
      <w:proofErr w:type="spellStart"/>
      <w:r w:rsidRPr="00324CC7">
        <w:rPr>
          <w:rFonts w:ascii="Arial" w:hAnsi="Arial" w:cs="Arial"/>
          <w:lang w:val="en-GB"/>
        </w:rPr>
        <w:t>imece</w:t>
      </w:r>
      <w:proofErr w:type="spellEnd"/>
      <w:r w:rsidRPr="00324CC7">
        <w:rPr>
          <w:rFonts w:ascii="Arial" w:hAnsi="Arial" w:cs="Arial"/>
          <w:lang w:val="en-GB"/>
        </w:rPr>
        <w:t>'. Originating from Anatolian social traditions dating back to the thirteenth century relating to the social cooperation of local communities in agricultural work, it constitutes (along with the monetary tribute known as "</w:t>
      </w:r>
      <w:proofErr w:type="spellStart"/>
      <w:r w:rsidRPr="00324CC7">
        <w:rPr>
          <w:rFonts w:ascii="Arial" w:hAnsi="Arial" w:cs="Arial"/>
          <w:lang w:val="en-GB"/>
        </w:rPr>
        <w:t>salma</w:t>
      </w:r>
      <w:proofErr w:type="spellEnd"/>
      <w:r w:rsidRPr="00324CC7">
        <w:rPr>
          <w:rFonts w:ascii="Arial" w:hAnsi="Arial" w:cs="Arial"/>
          <w:lang w:val="en-GB"/>
        </w:rPr>
        <w:t>") one of the two basic sources of own income of the smallest local government units established in Turkish law, villages.</w:t>
      </w:r>
    </w:p>
    <w:p w14:paraId="0D4135A0" w14:textId="77777777" w:rsidR="00B336AE" w:rsidRPr="00324CC7" w:rsidRDefault="00B336AE" w:rsidP="00013C4F">
      <w:pPr>
        <w:pStyle w:val="Bezodstpw"/>
        <w:spacing w:line="276" w:lineRule="auto"/>
        <w:ind w:firstLine="709"/>
        <w:rPr>
          <w:rFonts w:ascii="Arial" w:hAnsi="Arial" w:cs="Arial"/>
          <w:lang w:val="en-GB"/>
        </w:rPr>
      </w:pPr>
      <w:proofErr w:type="spellStart"/>
      <w:r w:rsidRPr="00324CC7">
        <w:rPr>
          <w:rFonts w:ascii="Arial" w:hAnsi="Arial" w:cs="Arial"/>
          <w:lang w:val="en-GB"/>
        </w:rPr>
        <w:t>Imece</w:t>
      </w:r>
      <w:proofErr w:type="spellEnd"/>
      <w:r w:rsidRPr="00324CC7">
        <w:rPr>
          <w:rFonts w:ascii="Arial" w:hAnsi="Arial" w:cs="Arial"/>
          <w:lang w:val="en-GB"/>
        </w:rPr>
        <w:t xml:space="preserve"> is distinguished by its particular legal construction. While remaining a financial law institution, it retains a personal character, making it an exception in Europe, where for a long time public tributes constituting the own revenue of public-law associations have been predominantly monetary in nature. Due to the social changes that have taken place in Turkey over the course of the twentieth century, this institution is becoming increasingly archaic. However, due to the fact that it still remains an element of the financial law of local self-</w:t>
      </w:r>
      <w:r w:rsidRPr="00324CC7">
        <w:rPr>
          <w:rFonts w:ascii="Arial" w:hAnsi="Arial" w:cs="Arial"/>
          <w:lang w:val="en-GB"/>
        </w:rPr>
        <w:lastRenderedPageBreak/>
        <w:t>government in Turkey, it deserves to be analysed as a kind of model for solutions that could answer many of the problems of the modern market economy, especially in the context of the social challenges observed in recent years also in Poland.</w:t>
      </w:r>
    </w:p>
    <w:p w14:paraId="47FAF69A" w14:textId="19B2FD84" w:rsidR="00B336AE" w:rsidRPr="00324CC7" w:rsidRDefault="00B336AE" w:rsidP="00013C4F">
      <w:pPr>
        <w:pStyle w:val="Bezodstpw"/>
        <w:spacing w:line="276" w:lineRule="auto"/>
        <w:ind w:firstLine="709"/>
        <w:rPr>
          <w:rFonts w:ascii="Arial" w:hAnsi="Arial" w:cs="Arial"/>
          <w:lang w:val="en-GB"/>
        </w:rPr>
      </w:pPr>
      <w:r w:rsidRPr="00324CC7">
        <w:rPr>
          <w:rFonts w:ascii="Arial" w:hAnsi="Arial" w:cs="Arial"/>
          <w:lang w:val="en-GB"/>
        </w:rPr>
        <w:t>The paper outlines the currents of social thought in Turkey with which the institution is associated, briefly explaining its origins and attempting to place it within the broader background of the society in whose law it was developed. Its legal construction is also presented, taking into account the role it plays in the broader system of the administrative and financial system of local government in Turkey, and with reference to the concepts of financial law theory that allow it to be characterised and capture its unique nature. In conclusion, as proposals, possible directions for further research are presented in which knowledge of its legal construction can be considered a valuable 'institutional knowledge resource'.</w:t>
      </w:r>
    </w:p>
    <w:sectPr w:rsidR="00B336AE" w:rsidRPr="00324CC7" w:rsidSect="00013C4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783"/>
    <w:rsid w:val="00013C4F"/>
    <w:rsid w:val="00324CC7"/>
    <w:rsid w:val="00882AC6"/>
    <w:rsid w:val="00AB1184"/>
    <w:rsid w:val="00B336AE"/>
    <w:rsid w:val="00CA256E"/>
    <w:rsid w:val="00CC0783"/>
    <w:rsid w:val="00F84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F755"/>
  <w15:chartTrackingRefBased/>
  <w15:docId w15:val="{7B3B38EB-A5C2-456A-99C3-E66E5562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256E"/>
  </w:style>
  <w:style w:type="paragraph" w:styleId="Nagwek1">
    <w:name w:val="heading 1"/>
    <w:basedOn w:val="Normalny"/>
    <w:next w:val="Normalny"/>
    <w:link w:val="Nagwek1Znak"/>
    <w:uiPriority w:val="9"/>
    <w:qFormat/>
    <w:rsid w:val="00013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336AE"/>
    <w:rPr>
      <w:color w:val="0563C1" w:themeColor="hyperlink"/>
      <w:u w:val="single"/>
    </w:rPr>
  </w:style>
  <w:style w:type="character" w:styleId="Nierozpoznanawzmianka">
    <w:name w:val="Unresolved Mention"/>
    <w:basedOn w:val="Domylnaczcionkaakapitu"/>
    <w:uiPriority w:val="99"/>
    <w:semiHidden/>
    <w:unhideWhenUsed/>
    <w:rsid w:val="00B336AE"/>
    <w:rPr>
      <w:color w:val="605E5C"/>
      <w:shd w:val="clear" w:color="auto" w:fill="E1DFDD"/>
    </w:rPr>
  </w:style>
  <w:style w:type="paragraph" w:styleId="Bezodstpw">
    <w:name w:val="No Spacing"/>
    <w:uiPriority w:val="1"/>
    <w:qFormat/>
    <w:rsid w:val="00324CC7"/>
    <w:pPr>
      <w:spacing w:after="0" w:line="240" w:lineRule="auto"/>
    </w:pPr>
  </w:style>
  <w:style w:type="character" w:customStyle="1" w:styleId="Nagwek1Znak">
    <w:name w:val="Nagłówek 1 Znak"/>
    <w:basedOn w:val="Domylnaczcionkaakapitu"/>
    <w:link w:val="Nagwek1"/>
    <w:uiPriority w:val="9"/>
    <w:rsid w:val="00013C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3612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Obuchowski</dc:creator>
  <cp:keywords/>
  <dc:description/>
  <cp:lastModifiedBy>Bartłomiej Suchodolski</cp:lastModifiedBy>
  <cp:revision>6</cp:revision>
  <dcterms:created xsi:type="dcterms:W3CDTF">2023-08-20T19:10:00Z</dcterms:created>
  <dcterms:modified xsi:type="dcterms:W3CDTF">2023-11-19T12:58:00Z</dcterms:modified>
</cp:coreProperties>
</file>