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FD11" w14:textId="4AA9D035" w:rsidR="00C02A91" w:rsidRPr="0024410B" w:rsidRDefault="00025597" w:rsidP="00025597">
      <w:pPr>
        <w:pStyle w:val="Bezodstpw"/>
        <w:spacing w:line="276" w:lineRule="auto"/>
        <w:rPr>
          <w:rFonts w:ascii="Arial" w:hAnsi="Arial" w:cs="Arial"/>
          <w:lang w:val="es-ES"/>
        </w:rPr>
      </w:pPr>
      <w:bookmarkStart w:id="0" w:name="_Hlk142905335"/>
      <w:r w:rsidRPr="0024410B">
        <w:rPr>
          <w:rFonts w:ascii="Arial" w:hAnsi="Arial" w:cs="Arial"/>
          <w:lang w:val="es-ES"/>
        </w:rPr>
        <w:t>d</w:t>
      </w:r>
      <w:r w:rsidR="00C02A91" w:rsidRPr="0024410B">
        <w:rPr>
          <w:rFonts w:ascii="Arial" w:hAnsi="Arial" w:cs="Arial"/>
          <w:lang w:val="es-ES"/>
        </w:rPr>
        <w:t>r hab. Michalina Duda-Hyz, prof</w:t>
      </w:r>
      <w:r w:rsidR="0024410B" w:rsidRPr="0024410B">
        <w:rPr>
          <w:rFonts w:ascii="Arial" w:hAnsi="Arial" w:cs="Arial"/>
          <w:lang w:val="es-ES"/>
        </w:rPr>
        <w:t>esor</w:t>
      </w:r>
      <w:r w:rsidR="00787FA9" w:rsidRPr="0024410B">
        <w:rPr>
          <w:rFonts w:ascii="Arial" w:hAnsi="Arial" w:cs="Arial"/>
          <w:lang w:val="es-ES"/>
        </w:rPr>
        <w:t xml:space="preserve"> </w:t>
      </w:r>
      <w:r w:rsidR="0024410B">
        <w:rPr>
          <w:rFonts w:ascii="Arial" w:hAnsi="Arial" w:cs="Arial"/>
          <w:lang w:val="es-ES"/>
        </w:rPr>
        <w:t>UO</w:t>
      </w:r>
    </w:p>
    <w:p w14:paraId="0AFF8D64" w14:textId="77777777" w:rsidR="0024410B" w:rsidRPr="0024410B" w:rsidRDefault="0024410B" w:rsidP="0024410B">
      <w:pPr>
        <w:pStyle w:val="Bezodstpw"/>
        <w:spacing w:line="276" w:lineRule="auto"/>
        <w:rPr>
          <w:rFonts w:ascii="Arial" w:hAnsi="Arial" w:cs="Arial"/>
        </w:rPr>
      </w:pPr>
      <w:r w:rsidRPr="0024410B">
        <w:rPr>
          <w:rFonts w:ascii="Arial" w:hAnsi="Arial" w:cs="Arial"/>
        </w:rPr>
        <w:t>Katedra Prawa Gospodarczego i Finansowego</w:t>
      </w:r>
    </w:p>
    <w:p w14:paraId="115A73DB" w14:textId="77777777" w:rsidR="0024410B" w:rsidRDefault="0024410B" w:rsidP="0024410B">
      <w:pPr>
        <w:pStyle w:val="Bezodstpw"/>
        <w:spacing w:line="276" w:lineRule="auto"/>
        <w:rPr>
          <w:rFonts w:ascii="Arial" w:hAnsi="Arial" w:cs="Arial"/>
        </w:rPr>
      </w:pPr>
      <w:r w:rsidRPr="0024410B">
        <w:rPr>
          <w:rFonts w:ascii="Arial" w:hAnsi="Arial" w:cs="Arial"/>
        </w:rPr>
        <w:t>Instytut Prawa</w:t>
      </w:r>
    </w:p>
    <w:p w14:paraId="3691B97B" w14:textId="29997236" w:rsidR="0024410B" w:rsidRDefault="0024410B" w:rsidP="00025597">
      <w:pPr>
        <w:pStyle w:val="Bezodstpw"/>
        <w:spacing w:line="276" w:lineRule="auto"/>
        <w:rPr>
          <w:rFonts w:ascii="Arial" w:hAnsi="Arial" w:cs="Arial"/>
        </w:rPr>
      </w:pPr>
      <w:r w:rsidRPr="0024410B">
        <w:rPr>
          <w:rFonts w:ascii="Arial" w:hAnsi="Arial" w:cs="Arial"/>
        </w:rPr>
        <w:t>Wydział Prawa i Administracji</w:t>
      </w:r>
    </w:p>
    <w:p w14:paraId="70F2FEEC" w14:textId="515D28C6" w:rsidR="0024410B" w:rsidRDefault="0024410B" w:rsidP="00025597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Uniwersytet Opolski</w:t>
      </w:r>
    </w:p>
    <w:p w14:paraId="3FE7B1AD" w14:textId="77777777" w:rsidR="00E443A4" w:rsidRPr="0024410B" w:rsidRDefault="00E443A4" w:rsidP="00025597">
      <w:pPr>
        <w:pStyle w:val="Bezodstpw"/>
        <w:spacing w:line="276" w:lineRule="auto"/>
        <w:rPr>
          <w:rFonts w:ascii="Arial" w:hAnsi="Arial" w:cs="Arial"/>
        </w:rPr>
      </w:pPr>
    </w:p>
    <w:p w14:paraId="3E98E3D6" w14:textId="2E983AD6" w:rsidR="00B56B8F" w:rsidRPr="00025597" w:rsidRDefault="00787FA9" w:rsidP="00025597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 w:rsidRPr="00025597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The participation of local authorities </w:t>
      </w:r>
      <w:r w:rsidR="00C02A91" w:rsidRPr="00025597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in gambling taxes</w:t>
      </w:r>
    </w:p>
    <w:p w14:paraId="46EA5C06" w14:textId="77777777" w:rsidR="0087706B" w:rsidRPr="0087706B" w:rsidRDefault="0087706B" w:rsidP="00025597">
      <w:pPr>
        <w:pStyle w:val="Bezodstpw"/>
        <w:spacing w:line="276" w:lineRule="auto"/>
        <w:rPr>
          <w:rFonts w:ascii="Arial" w:hAnsi="Arial" w:cs="Arial"/>
          <w:b/>
          <w:bCs/>
          <w:lang w:val="en-GB"/>
        </w:rPr>
      </w:pPr>
    </w:p>
    <w:p w14:paraId="31AEB4C0" w14:textId="40667554" w:rsidR="0037021F" w:rsidRPr="0087706B" w:rsidRDefault="00B56B8F" w:rsidP="00025597">
      <w:pPr>
        <w:pStyle w:val="Bezodstpw"/>
        <w:spacing w:line="276" w:lineRule="auto"/>
        <w:ind w:firstLine="709"/>
        <w:rPr>
          <w:rFonts w:ascii="Arial" w:hAnsi="Arial" w:cs="Arial"/>
          <w:lang w:val="en-GB"/>
        </w:rPr>
      </w:pPr>
      <w:r w:rsidRPr="0087706B">
        <w:rPr>
          <w:rFonts w:ascii="Arial" w:hAnsi="Arial" w:cs="Arial"/>
          <w:lang w:val="en-GB"/>
        </w:rPr>
        <w:t>In Polish literature, the issue of gaming taxes is rarely raised in the context of local government revenues</w:t>
      </w:r>
      <w:r w:rsidR="007812FC" w:rsidRPr="0087706B">
        <w:rPr>
          <w:rFonts w:ascii="Arial" w:hAnsi="Arial" w:cs="Arial"/>
          <w:lang w:val="en-GB"/>
        </w:rPr>
        <w:t xml:space="preserve">. </w:t>
      </w:r>
      <w:r w:rsidR="00176757" w:rsidRPr="0087706B">
        <w:rPr>
          <w:rFonts w:ascii="Arial" w:hAnsi="Arial" w:cs="Arial"/>
          <w:lang w:val="en-GB"/>
        </w:rPr>
        <w:t>This seems to stem firstly from the fact that</w:t>
      </w:r>
      <w:r w:rsidR="00787FA9" w:rsidRPr="0087706B">
        <w:rPr>
          <w:rFonts w:ascii="Arial" w:hAnsi="Arial" w:cs="Arial"/>
          <w:lang w:val="en-GB"/>
        </w:rPr>
        <w:t xml:space="preserve"> since</w:t>
      </w:r>
      <w:r w:rsidR="007812FC" w:rsidRPr="0087706B">
        <w:rPr>
          <w:rFonts w:ascii="Arial" w:hAnsi="Arial" w:cs="Arial"/>
          <w:lang w:val="en-GB"/>
        </w:rPr>
        <w:t xml:space="preserve"> the restoration of local self-government in 1990 , revenues from this source have not constituted the income of local government units. Secondly,</w:t>
      </w:r>
      <w:r w:rsidR="00176757" w:rsidRPr="0087706B">
        <w:rPr>
          <w:rFonts w:ascii="Arial" w:hAnsi="Arial" w:cs="Arial"/>
          <w:lang w:val="en-GB"/>
        </w:rPr>
        <w:t xml:space="preserve"> from</w:t>
      </w:r>
      <w:r w:rsidR="007812FC" w:rsidRPr="0087706B">
        <w:rPr>
          <w:rFonts w:ascii="Arial" w:hAnsi="Arial" w:cs="Arial"/>
          <w:lang w:val="en-GB"/>
        </w:rPr>
        <w:t xml:space="preserve"> the fact that the gambling tax, by its very nature, is a much less efficient source of revenue than general taxes or excise duty</w:t>
      </w:r>
      <w:r w:rsidR="00176757" w:rsidRPr="0087706B">
        <w:rPr>
          <w:rFonts w:ascii="Arial" w:hAnsi="Arial" w:cs="Arial"/>
          <w:lang w:val="en-GB"/>
        </w:rPr>
        <w:t xml:space="preserve">. </w:t>
      </w:r>
      <w:r w:rsidR="00E23993" w:rsidRPr="0087706B">
        <w:rPr>
          <w:rFonts w:ascii="Arial" w:hAnsi="Arial" w:cs="Arial"/>
          <w:lang w:val="en-GB"/>
        </w:rPr>
        <w:t>And last but not least, from the attitude of public authorities to gambling itself, which is still perceived in Poland as an undesirable, dangerous or even morally reprehensible activity.</w:t>
      </w:r>
      <w:r w:rsidR="00CB2708" w:rsidRPr="0087706B">
        <w:rPr>
          <w:rFonts w:ascii="Arial" w:hAnsi="Arial" w:cs="Arial"/>
          <w:lang w:val="en-GB"/>
        </w:rPr>
        <w:t xml:space="preserve"> It should also be </w:t>
      </w:r>
      <w:r w:rsidR="00C04948" w:rsidRPr="0087706B">
        <w:rPr>
          <w:rFonts w:ascii="Arial" w:hAnsi="Arial" w:cs="Arial"/>
          <w:lang w:val="en-GB"/>
        </w:rPr>
        <w:t>stressed</w:t>
      </w:r>
      <w:r w:rsidR="00CB2708" w:rsidRPr="0087706B">
        <w:rPr>
          <w:rFonts w:ascii="Arial" w:hAnsi="Arial" w:cs="Arial"/>
          <w:lang w:val="en-GB"/>
        </w:rPr>
        <w:t xml:space="preserve"> that</w:t>
      </w:r>
      <w:r w:rsidR="0037021F" w:rsidRPr="0087706B">
        <w:rPr>
          <w:rFonts w:ascii="Arial" w:hAnsi="Arial" w:cs="Arial"/>
          <w:lang w:val="en-GB"/>
        </w:rPr>
        <w:t>,</w:t>
      </w:r>
      <w:r w:rsidR="00CB2708" w:rsidRPr="0087706B">
        <w:rPr>
          <w:rFonts w:ascii="Arial" w:hAnsi="Arial" w:cs="Arial"/>
          <w:lang w:val="en-GB"/>
        </w:rPr>
        <w:t xml:space="preserve"> there have been proposals in recent years to boost local government budgets with revenue from various taxes, </w:t>
      </w:r>
      <w:r w:rsidR="00E443A4" w:rsidRPr="0087706B">
        <w:rPr>
          <w:rFonts w:ascii="Arial" w:hAnsi="Arial" w:cs="Arial"/>
          <w:lang w:val="en-GB"/>
        </w:rPr>
        <w:t>such as the Senate</w:t>
      </w:r>
      <w:r w:rsidR="0037021F" w:rsidRPr="0087706B">
        <w:rPr>
          <w:rFonts w:ascii="Arial" w:hAnsi="Arial" w:cs="Arial"/>
          <w:lang w:val="en-GB"/>
        </w:rPr>
        <w:t xml:space="preserve"> proposal to grant local governments lump-sum income tax receipts </w:t>
      </w:r>
      <w:r w:rsidR="00E443A4" w:rsidRPr="0087706B">
        <w:rPr>
          <w:rFonts w:ascii="Arial" w:hAnsi="Arial" w:cs="Arial"/>
          <w:lang w:val="en-GB"/>
        </w:rPr>
        <w:t xml:space="preserve">or proposals concerning participation in </w:t>
      </w:r>
      <w:r w:rsidR="00787FA9" w:rsidRPr="0087706B">
        <w:rPr>
          <w:rFonts w:ascii="Arial" w:hAnsi="Arial" w:cs="Arial"/>
          <w:lang w:val="en-GB"/>
        </w:rPr>
        <w:t xml:space="preserve">the </w:t>
      </w:r>
      <w:r w:rsidR="00E443A4" w:rsidRPr="0087706B">
        <w:rPr>
          <w:rFonts w:ascii="Arial" w:hAnsi="Arial" w:cs="Arial"/>
          <w:lang w:val="en-GB"/>
        </w:rPr>
        <w:t>goods and services tax</w:t>
      </w:r>
      <w:r w:rsidR="00787FA9" w:rsidRPr="0087706B">
        <w:rPr>
          <w:rFonts w:ascii="Arial" w:hAnsi="Arial" w:cs="Arial"/>
          <w:lang w:val="en-GB"/>
        </w:rPr>
        <w:t xml:space="preserve"> (VAT)</w:t>
      </w:r>
      <w:r w:rsidR="0037021F" w:rsidRPr="0087706B">
        <w:rPr>
          <w:rFonts w:ascii="Arial" w:hAnsi="Arial" w:cs="Arial"/>
          <w:lang w:val="en-GB"/>
        </w:rPr>
        <w:t>. The concept of providing local government units with a share of indirect taxes has also been considered in the</w:t>
      </w:r>
      <w:r w:rsidR="00787FA9" w:rsidRPr="0087706B">
        <w:rPr>
          <w:rFonts w:ascii="Arial" w:hAnsi="Arial" w:cs="Arial"/>
          <w:lang w:val="en-GB"/>
        </w:rPr>
        <w:t xml:space="preserve"> scholarship on </w:t>
      </w:r>
      <w:r w:rsidR="0037021F" w:rsidRPr="0087706B">
        <w:rPr>
          <w:rFonts w:ascii="Arial" w:hAnsi="Arial" w:cs="Arial"/>
          <w:lang w:val="en-GB"/>
        </w:rPr>
        <w:t>tax law</w:t>
      </w:r>
      <w:r w:rsidR="00063247" w:rsidRPr="0087706B">
        <w:rPr>
          <w:rFonts w:ascii="Arial" w:hAnsi="Arial" w:cs="Arial"/>
          <w:lang w:val="en-GB"/>
        </w:rPr>
        <w:t>, h</w:t>
      </w:r>
      <w:r w:rsidR="0037021F" w:rsidRPr="0087706B">
        <w:rPr>
          <w:rFonts w:ascii="Arial" w:hAnsi="Arial" w:cs="Arial"/>
          <w:lang w:val="en-GB"/>
        </w:rPr>
        <w:t>owever, it concerned only VAT and excise dutie</w:t>
      </w:r>
      <w:r w:rsidR="00063247" w:rsidRPr="0087706B">
        <w:rPr>
          <w:rFonts w:ascii="Arial" w:hAnsi="Arial" w:cs="Arial"/>
          <w:lang w:val="en-GB"/>
        </w:rPr>
        <w:t>s.</w:t>
      </w:r>
    </w:p>
    <w:p w14:paraId="22CC34DB" w14:textId="28CB1979" w:rsidR="008447EC" w:rsidRPr="0087706B" w:rsidRDefault="006C373A" w:rsidP="00025597">
      <w:pPr>
        <w:pStyle w:val="Bezodstpw"/>
        <w:spacing w:line="276" w:lineRule="auto"/>
        <w:ind w:firstLine="709"/>
        <w:rPr>
          <w:rFonts w:ascii="Arial" w:hAnsi="Arial" w:cs="Arial"/>
          <w:lang w:val="en-GB"/>
        </w:rPr>
      </w:pPr>
      <w:r w:rsidRPr="0087706B">
        <w:rPr>
          <w:rFonts w:ascii="Arial" w:hAnsi="Arial" w:cs="Arial"/>
          <w:lang w:val="en-GB"/>
        </w:rPr>
        <w:t>Poland has experience in feeding local government budgets from gambling taxes dating back to the interwar period. In 1923, under the Provisional Regulation of Municipal Finance Act</w:t>
      </w:r>
      <w:r w:rsidR="00C71745" w:rsidRPr="0087706B">
        <w:rPr>
          <w:rFonts w:ascii="Arial" w:hAnsi="Arial" w:cs="Arial"/>
          <w:lang w:val="en-GB"/>
        </w:rPr>
        <w:t xml:space="preserve">, the taxation of gaming and betting rates was introduced as part of a tax on public amusements, entertainment and shows. </w:t>
      </w:r>
      <w:r w:rsidR="00C04948" w:rsidRPr="0087706B">
        <w:rPr>
          <w:rFonts w:ascii="Arial" w:hAnsi="Arial" w:cs="Arial"/>
          <w:lang w:val="en-GB"/>
        </w:rPr>
        <w:t xml:space="preserve">It is also worth noting that, although self-government did not function during the People’s Republic of Poland, gambling games organized by gaming companies set up by provincial-level state administration bodies were very popular. </w:t>
      </w:r>
      <w:r w:rsidR="00E560B3" w:rsidRPr="0087706B">
        <w:rPr>
          <w:rFonts w:ascii="Arial" w:hAnsi="Arial" w:cs="Arial"/>
          <w:lang w:val="en-GB"/>
        </w:rPr>
        <w:t xml:space="preserve">At the height </w:t>
      </w:r>
      <w:r w:rsidR="00787FA9" w:rsidRPr="0087706B">
        <w:rPr>
          <w:rFonts w:ascii="Arial" w:hAnsi="Arial" w:cs="Arial"/>
          <w:lang w:val="en-GB"/>
        </w:rPr>
        <w:t>o</w:t>
      </w:r>
      <w:r w:rsidR="00E560B3" w:rsidRPr="0087706B">
        <w:rPr>
          <w:rFonts w:ascii="Arial" w:hAnsi="Arial" w:cs="Arial"/>
          <w:lang w:val="en-GB"/>
        </w:rPr>
        <w:t>f their popularity there were 17 such enterprises, with some of them, such as Silesi</w:t>
      </w:r>
      <w:r w:rsidR="0004670B" w:rsidRPr="0087706B">
        <w:rPr>
          <w:rFonts w:ascii="Arial" w:hAnsi="Arial" w:cs="Arial"/>
          <w:lang w:val="en-GB"/>
        </w:rPr>
        <w:t>a</w:t>
      </w:r>
      <w:r w:rsidR="00E560B3" w:rsidRPr="0087706B">
        <w:rPr>
          <w:rFonts w:ascii="Arial" w:hAnsi="Arial" w:cs="Arial"/>
          <w:lang w:val="en-GB"/>
        </w:rPr>
        <w:t>’s ‘Karolinka’, Krakow’s ‘</w:t>
      </w:r>
      <w:proofErr w:type="spellStart"/>
      <w:r w:rsidR="00E560B3" w:rsidRPr="0087706B">
        <w:rPr>
          <w:rFonts w:ascii="Arial" w:hAnsi="Arial" w:cs="Arial"/>
          <w:lang w:val="en-GB"/>
        </w:rPr>
        <w:t>Lajkonik</w:t>
      </w:r>
      <w:proofErr w:type="spellEnd"/>
      <w:r w:rsidR="00E560B3" w:rsidRPr="0087706B">
        <w:rPr>
          <w:rFonts w:ascii="Arial" w:hAnsi="Arial" w:cs="Arial"/>
          <w:lang w:val="en-GB"/>
        </w:rPr>
        <w:t xml:space="preserve">’ and </w:t>
      </w:r>
      <w:proofErr w:type="spellStart"/>
      <w:r w:rsidR="00E560B3" w:rsidRPr="0087706B">
        <w:rPr>
          <w:rFonts w:ascii="Arial" w:hAnsi="Arial" w:cs="Arial"/>
          <w:lang w:val="en-GB"/>
        </w:rPr>
        <w:t>Wrocław’s</w:t>
      </w:r>
      <w:proofErr w:type="spellEnd"/>
      <w:r w:rsidR="00E560B3" w:rsidRPr="0087706B">
        <w:rPr>
          <w:rFonts w:ascii="Arial" w:hAnsi="Arial" w:cs="Arial"/>
          <w:lang w:val="en-GB"/>
        </w:rPr>
        <w:t xml:space="preserve"> ‘</w:t>
      </w:r>
      <w:proofErr w:type="spellStart"/>
      <w:r w:rsidR="00E560B3" w:rsidRPr="0087706B">
        <w:rPr>
          <w:rFonts w:ascii="Arial" w:hAnsi="Arial" w:cs="Arial"/>
          <w:lang w:val="en-GB"/>
        </w:rPr>
        <w:t>Liczyrzepka</w:t>
      </w:r>
      <w:proofErr w:type="spellEnd"/>
      <w:r w:rsidR="00E560B3" w:rsidRPr="0087706B">
        <w:rPr>
          <w:rFonts w:ascii="Arial" w:hAnsi="Arial" w:cs="Arial"/>
          <w:lang w:val="en-GB"/>
        </w:rPr>
        <w:t xml:space="preserve">’ were achieving significant turnover. </w:t>
      </w:r>
    </w:p>
    <w:p w14:paraId="1B6A56DD" w14:textId="3735DF7A" w:rsidR="00C71745" w:rsidRPr="0087706B" w:rsidRDefault="00451C00" w:rsidP="00025597">
      <w:pPr>
        <w:pStyle w:val="Bezodstpw"/>
        <w:spacing w:line="276" w:lineRule="auto"/>
        <w:ind w:firstLine="709"/>
        <w:rPr>
          <w:rFonts w:ascii="Arial" w:hAnsi="Arial" w:cs="Arial"/>
          <w:lang w:val="en-GB"/>
        </w:rPr>
      </w:pPr>
      <w:r w:rsidRPr="0087706B">
        <w:rPr>
          <w:rFonts w:ascii="Arial" w:hAnsi="Arial" w:cs="Arial"/>
          <w:lang w:val="en-GB"/>
        </w:rPr>
        <w:t xml:space="preserve">Local </w:t>
      </w:r>
      <w:r w:rsidR="00396539" w:rsidRPr="0087706B">
        <w:rPr>
          <w:rFonts w:ascii="Arial" w:hAnsi="Arial" w:cs="Arial"/>
          <w:lang w:val="en-GB"/>
        </w:rPr>
        <w:t>gambling taxes are also known today. Examples include gaming machine taxes and taxes on betting shops</w:t>
      </w:r>
      <w:r w:rsidR="0009557E" w:rsidRPr="0087706B">
        <w:rPr>
          <w:rFonts w:ascii="Arial" w:hAnsi="Arial" w:cs="Arial"/>
          <w:lang w:val="en-GB"/>
        </w:rPr>
        <w:t xml:space="preserve"> in Germany</w:t>
      </w:r>
      <w:r w:rsidR="00396539" w:rsidRPr="0087706B">
        <w:rPr>
          <w:rFonts w:ascii="Arial" w:hAnsi="Arial" w:cs="Arial"/>
          <w:lang w:val="en-GB"/>
        </w:rPr>
        <w:t xml:space="preserve">, </w:t>
      </w:r>
      <w:r w:rsidR="00C2616D" w:rsidRPr="0087706B">
        <w:rPr>
          <w:rFonts w:ascii="Arial" w:hAnsi="Arial" w:cs="Arial"/>
          <w:lang w:val="en-GB"/>
        </w:rPr>
        <w:t>as well as</w:t>
      </w:r>
      <w:r w:rsidR="00396539" w:rsidRPr="0087706B">
        <w:rPr>
          <w:rFonts w:ascii="Arial" w:hAnsi="Arial" w:cs="Arial"/>
          <w:lang w:val="en-GB"/>
        </w:rPr>
        <w:t xml:space="preserve"> local gaming taxes in the United States of America. </w:t>
      </w:r>
      <w:r w:rsidR="005B03AD" w:rsidRPr="0087706B">
        <w:rPr>
          <w:rFonts w:ascii="Arial" w:hAnsi="Arial" w:cs="Arial"/>
          <w:lang w:val="en-GB"/>
        </w:rPr>
        <w:t xml:space="preserve">As far as Germany is concerned, there has been a noticeable increase in the number of local authorities introducing such taxes, in particular the state of North Rhine-Westphalia. </w:t>
      </w:r>
      <w:r w:rsidR="00C64AEA" w:rsidRPr="0087706B">
        <w:rPr>
          <w:rFonts w:ascii="Arial" w:hAnsi="Arial" w:cs="Arial"/>
          <w:lang w:val="en-GB"/>
        </w:rPr>
        <w:t xml:space="preserve">In the United States of America the taxes are determined by individual states and vary </w:t>
      </w:r>
      <w:r w:rsidR="006C16C9" w:rsidRPr="0087706B">
        <w:rPr>
          <w:rFonts w:ascii="Arial" w:hAnsi="Arial" w:cs="Arial"/>
          <w:lang w:val="en-GB"/>
        </w:rPr>
        <w:t xml:space="preserve">throughout the country. For example, in Washington the state does not collect a gambling tax but the state law allows local cities, counties or town to tax gambling </w:t>
      </w:r>
      <w:r w:rsidR="00787FA9" w:rsidRPr="0087706B">
        <w:rPr>
          <w:rFonts w:ascii="Arial" w:hAnsi="Arial" w:cs="Arial"/>
          <w:lang w:val="en-GB"/>
        </w:rPr>
        <w:t>revenues</w:t>
      </w:r>
      <w:r w:rsidR="006C16C9" w:rsidRPr="0087706B">
        <w:rPr>
          <w:rFonts w:ascii="Arial" w:hAnsi="Arial" w:cs="Arial"/>
          <w:lang w:val="en-GB"/>
        </w:rPr>
        <w:t xml:space="preserve">. The maximum </w:t>
      </w:r>
      <w:r w:rsidR="00063247" w:rsidRPr="0087706B">
        <w:rPr>
          <w:rFonts w:ascii="Arial" w:hAnsi="Arial" w:cs="Arial"/>
          <w:lang w:val="en-GB"/>
        </w:rPr>
        <w:t xml:space="preserve">rates </w:t>
      </w:r>
      <w:r w:rsidR="006C16C9" w:rsidRPr="0087706B">
        <w:rPr>
          <w:rFonts w:ascii="Arial" w:hAnsi="Arial" w:cs="Arial"/>
          <w:lang w:val="en-GB"/>
        </w:rPr>
        <w:t xml:space="preserve">in those taxes are set forth in the state law. From a Polish perspective, however, of particular interest are those solutions aimed at feeding local budgets with gambling proceeds that have been introduced in the Czech Republic, </w:t>
      </w:r>
      <w:r w:rsidR="00165550" w:rsidRPr="0087706B">
        <w:rPr>
          <w:rFonts w:ascii="Arial" w:hAnsi="Arial" w:cs="Arial"/>
          <w:lang w:val="en-GB"/>
        </w:rPr>
        <w:t xml:space="preserve">Slovakia and Latvia. </w:t>
      </w:r>
      <w:r w:rsidR="00FC0CD7" w:rsidRPr="0087706B">
        <w:rPr>
          <w:rFonts w:ascii="Arial" w:hAnsi="Arial" w:cs="Arial"/>
          <w:lang w:val="en-GB"/>
        </w:rPr>
        <w:t>This is because these countries</w:t>
      </w:r>
      <w:r w:rsidR="00681456" w:rsidRPr="0087706B">
        <w:rPr>
          <w:rFonts w:ascii="Arial" w:hAnsi="Arial" w:cs="Arial"/>
          <w:lang w:val="en-GB"/>
        </w:rPr>
        <w:t xml:space="preserve"> have</w:t>
      </w:r>
      <w:r w:rsidR="004D4EC8" w:rsidRPr="0087706B">
        <w:rPr>
          <w:rFonts w:ascii="Arial" w:hAnsi="Arial" w:cs="Arial"/>
          <w:lang w:val="en-GB"/>
        </w:rPr>
        <w:t xml:space="preserve"> adapted </w:t>
      </w:r>
      <w:r w:rsidR="00681456" w:rsidRPr="0087706B">
        <w:rPr>
          <w:rFonts w:ascii="Arial" w:hAnsi="Arial" w:cs="Arial"/>
          <w:lang w:val="en-GB"/>
        </w:rPr>
        <w:t xml:space="preserve">modern </w:t>
      </w:r>
      <w:r w:rsidR="004D4EC8" w:rsidRPr="0087706B">
        <w:rPr>
          <w:rFonts w:ascii="Arial" w:hAnsi="Arial" w:cs="Arial"/>
          <w:lang w:val="en-GB"/>
        </w:rPr>
        <w:t>legal framework</w:t>
      </w:r>
      <w:r w:rsidR="00681456" w:rsidRPr="0087706B">
        <w:rPr>
          <w:rFonts w:ascii="Arial" w:hAnsi="Arial" w:cs="Arial"/>
          <w:lang w:val="en-GB"/>
        </w:rPr>
        <w:t>s</w:t>
      </w:r>
      <w:r w:rsidR="004D4EC8" w:rsidRPr="0087706B">
        <w:rPr>
          <w:rFonts w:ascii="Arial" w:hAnsi="Arial" w:cs="Arial"/>
          <w:lang w:val="en-GB"/>
        </w:rPr>
        <w:t xml:space="preserve"> for the operation of both land-based and online gambling companies</w:t>
      </w:r>
      <w:r w:rsidR="00681456" w:rsidRPr="0087706B">
        <w:rPr>
          <w:rFonts w:ascii="Arial" w:hAnsi="Arial" w:cs="Arial"/>
          <w:lang w:val="en-GB"/>
        </w:rPr>
        <w:t xml:space="preserve">, while at the same time introducing </w:t>
      </w:r>
      <w:r w:rsidR="004D4EC8" w:rsidRPr="0087706B">
        <w:rPr>
          <w:rFonts w:ascii="Arial" w:hAnsi="Arial" w:cs="Arial"/>
          <w:lang w:val="en-GB"/>
        </w:rPr>
        <w:t xml:space="preserve"> </w:t>
      </w:r>
      <w:r w:rsidR="00681456" w:rsidRPr="0087706B">
        <w:rPr>
          <w:rFonts w:ascii="Arial" w:hAnsi="Arial" w:cs="Arial"/>
          <w:lang w:val="en-GB"/>
        </w:rPr>
        <w:t xml:space="preserve">interesting solutions for the distribution of gaming tax revenues </w:t>
      </w:r>
      <w:r w:rsidR="00FC0CD7" w:rsidRPr="0087706B">
        <w:rPr>
          <w:rFonts w:ascii="Arial" w:hAnsi="Arial" w:cs="Arial"/>
          <w:lang w:val="en-GB"/>
        </w:rPr>
        <w:t xml:space="preserve">between central and local governments. </w:t>
      </w:r>
    </w:p>
    <w:p w14:paraId="38311BCC" w14:textId="7A3180A1" w:rsidR="00681456" w:rsidRPr="0087706B" w:rsidRDefault="00CD02D2" w:rsidP="00025597">
      <w:pPr>
        <w:pStyle w:val="Bezodstpw"/>
        <w:spacing w:line="276" w:lineRule="auto"/>
        <w:ind w:firstLine="709"/>
        <w:rPr>
          <w:rFonts w:ascii="Arial" w:hAnsi="Arial" w:cs="Arial"/>
          <w:lang w:val="en-GB"/>
        </w:rPr>
      </w:pPr>
      <w:r w:rsidRPr="0087706B">
        <w:rPr>
          <w:rFonts w:ascii="Arial" w:hAnsi="Arial" w:cs="Arial"/>
          <w:lang w:val="en-GB"/>
        </w:rPr>
        <w:t xml:space="preserve">The purpose of my </w:t>
      </w:r>
      <w:r w:rsidR="00FF37B0" w:rsidRPr="0087706B">
        <w:rPr>
          <w:rFonts w:ascii="Arial" w:hAnsi="Arial" w:cs="Arial"/>
          <w:lang w:val="en-GB"/>
        </w:rPr>
        <w:t xml:space="preserve">presentation is to answer the question whether, against the background of the gambling regulatory system in place in Poland, it would be justified to transfer a portion of gaming tax revenue to local government units. The first part of the presentation will summarise the solutions adopted in this area in the Czech Republic, </w:t>
      </w:r>
      <w:r w:rsidR="00FF37B0" w:rsidRPr="0087706B">
        <w:rPr>
          <w:rFonts w:ascii="Arial" w:hAnsi="Arial" w:cs="Arial"/>
          <w:lang w:val="en-GB"/>
        </w:rPr>
        <w:lastRenderedPageBreak/>
        <w:t xml:space="preserve">Slovakia and Latvia. In the second part, I will </w:t>
      </w:r>
      <w:r w:rsidR="008F115B" w:rsidRPr="0087706B">
        <w:rPr>
          <w:rFonts w:ascii="Arial" w:hAnsi="Arial" w:cs="Arial"/>
          <w:lang w:val="en-GB"/>
        </w:rPr>
        <w:t xml:space="preserve">attempt to assess whether comparable solutions could be introduced in Poland. </w:t>
      </w:r>
    </w:p>
    <w:p w14:paraId="7E346AF1" w14:textId="3BF79F3B" w:rsidR="00C71745" w:rsidRPr="0087706B" w:rsidRDefault="00C71745" w:rsidP="00025597">
      <w:pPr>
        <w:pStyle w:val="Bezodstpw"/>
        <w:spacing w:line="276" w:lineRule="auto"/>
        <w:rPr>
          <w:rFonts w:ascii="Arial" w:hAnsi="Arial" w:cs="Arial"/>
          <w:lang w:val="en-GB"/>
        </w:rPr>
      </w:pPr>
    </w:p>
    <w:p w14:paraId="25A461B1" w14:textId="2E44932D" w:rsidR="00C71745" w:rsidRPr="0087706B" w:rsidRDefault="00C71745" w:rsidP="00025597">
      <w:pPr>
        <w:pStyle w:val="Bezodstpw"/>
        <w:spacing w:line="276" w:lineRule="auto"/>
        <w:rPr>
          <w:rFonts w:ascii="Arial" w:hAnsi="Arial" w:cs="Arial"/>
          <w:lang w:val="en-GB"/>
        </w:rPr>
      </w:pPr>
    </w:p>
    <w:p w14:paraId="17CEF0F4" w14:textId="77777777" w:rsidR="00C71745" w:rsidRPr="0087706B" w:rsidRDefault="00C71745" w:rsidP="00025597">
      <w:pPr>
        <w:pStyle w:val="Bezodstpw"/>
        <w:spacing w:line="276" w:lineRule="auto"/>
        <w:rPr>
          <w:rFonts w:ascii="Arial" w:hAnsi="Arial" w:cs="Arial"/>
          <w:lang w:val="en-GB"/>
        </w:rPr>
      </w:pPr>
    </w:p>
    <w:bookmarkEnd w:id="0"/>
    <w:p w14:paraId="77166827" w14:textId="1858CB7C" w:rsidR="00C1566F" w:rsidRPr="0087706B" w:rsidRDefault="00C1566F" w:rsidP="00025597">
      <w:pPr>
        <w:pStyle w:val="Bezodstpw"/>
        <w:spacing w:line="276" w:lineRule="auto"/>
        <w:rPr>
          <w:rFonts w:ascii="Arial" w:hAnsi="Arial" w:cs="Arial"/>
          <w:lang w:val="en-GB"/>
        </w:rPr>
      </w:pPr>
    </w:p>
    <w:sectPr w:rsidR="00C1566F" w:rsidRPr="0087706B" w:rsidSect="000255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CB30" w14:textId="77777777" w:rsidR="001964E7" w:rsidRDefault="001964E7" w:rsidP="003E4181">
      <w:pPr>
        <w:spacing w:after="0" w:line="240" w:lineRule="auto"/>
      </w:pPr>
      <w:r>
        <w:separator/>
      </w:r>
    </w:p>
  </w:endnote>
  <w:endnote w:type="continuationSeparator" w:id="0">
    <w:p w14:paraId="06A10818" w14:textId="77777777" w:rsidR="001964E7" w:rsidRDefault="001964E7" w:rsidP="003E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16AD" w14:textId="77777777" w:rsidR="001964E7" w:rsidRDefault="001964E7" w:rsidP="003E4181">
      <w:pPr>
        <w:spacing w:after="0" w:line="240" w:lineRule="auto"/>
      </w:pPr>
      <w:r>
        <w:separator/>
      </w:r>
    </w:p>
  </w:footnote>
  <w:footnote w:type="continuationSeparator" w:id="0">
    <w:p w14:paraId="0DC414BE" w14:textId="77777777" w:rsidR="001964E7" w:rsidRDefault="001964E7" w:rsidP="003E4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91"/>
    <w:rsid w:val="00025597"/>
    <w:rsid w:val="00035724"/>
    <w:rsid w:val="0004670B"/>
    <w:rsid w:val="00063247"/>
    <w:rsid w:val="0009557E"/>
    <w:rsid w:val="000B547E"/>
    <w:rsid w:val="000F0078"/>
    <w:rsid w:val="000F1A4E"/>
    <w:rsid w:val="00165550"/>
    <w:rsid w:val="00176757"/>
    <w:rsid w:val="0019556F"/>
    <w:rsid w:val="001964E7"/>
    <w:rsid w:val="001A1CF3"/>
    <w:rsid w:val="0024410B"/>
    <w:rsid w:val="002A1EA6"/>
    <w:rsid w:val="00330B3D"/>
    <w:rsid w:val="00364931"/>
    <w:rsid w:val="0037021F"/>
    <w:rsid w:val="00396539"/>
    <w:rsid w:val="003E4181"/>
    <w:rsid w:val="00423765"/>
    <w:rsid w:val="00451C00"/>
    <w:rsid w:val="0047298D"/>
    <w:rsid w:val="004D4EC8"/>
    <w:rsid w:val="00535AE3"/>
    <w:rsid w:val="0059759E"/>
    <w:rsid w:val="005B03AD"/>
    <w:rsid w:val="005D43D1"/>
    <w:rsid w:val="00681456"/>
    <w:rsid w:val="006C16C9"/>
    <w:rsid w:val="006C373A"/>
    <w:rsid w:val="007812FC"/>
    <w:rsid w:val="00787FA9"/>
    <w:rsid w:val="008447EC"/>
    <w:rsid w:val="0087706B"/>
    <w:rsid w:val="008D37B7"/>
    <w:rsid w:val="008E6DE3"/>
    <w:rsid w:val="008F115B"/>
    <w:rsid w:val="00A57071"/>
    <w:rsid w:val="00A92281"/>
    <w:rsid w:val="00B56B8F"/>
    <w:rsid w:val="00B83FD9"/>
    <w:rsid w:val="00C02A91"/>
    <w:rsid w:val="00C04948"/>
    <w:rsid w:val="00C1566F"/>
    <w:rsid w:val="00C2616D"/>
    <w:rsid w:val="00C322E6"/>
    <w:rsid w:val="00C64AEA"/>
    <w:rsid w:val="00C71745"/>
    <w:rsid w:val="00CB2708"/>
    <w:rsid w:val="00CD02D2"/>
    <w:rsid w:val="00E23993"/>
    <w:rsid w:val="00E443A4"/>
    <w:rsid w:val="00E560B3"/>
    <w:rsid w:val="00ED1244"/>
    <w:rsid w:val="00FC0CD7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46A9"/>
  <w15:chartTrackingRefBased/>
  <w15:docId w15:val="{677BB22E-DE81-4F3C-9C55-79FFD9C1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5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Podrozdział Znak Znak Znak"/>
    <w:basedOn w:val="Normalny"/>
    <w:link w:val="TekstprzypisudolnegoZnak"/>
    <w:semiHidden/>
    <w:unhideWhenUsed/>
    <w:rsid w:val="003E4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Podrozdział Znak Znak Znak Znak"/>
    <w:basedOn w:val="Domylnaczcionkaakapitu"/>
    <w:link w:val="Tekstprzypisudolnego"/>
    <w:semiHidden/>
    <w:rsid w:val="003E418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E41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41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418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A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F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7706B"/>
    <w:pPr>
      <w:spacing w:after="0" w:line="240" w:lineRule="auto"/>
    </w:pPr>
  </w:style>
  <w:style w:type="paragraph" w:styleId="Bezodstpw">
    <w:name w:val="No Spacing"/>
    <w:uiPriority w:val="1"/>
    <w:qFormat/>
    <w:rsid w:val="008770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5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0A74-0D7E-4B1E-AEC0-2CBF1D3D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Duda-Hyz</dc:creator>
  <cp:keywords/>
  <dc:description/>
  <cp:lastModifiedBy>Bartłomiej Suchodolski</cp:lastModifiedBy>
  <cp:revision>8</cp:revision>
  <dcterms:created xsi:type="dcterms:W3CDTF">2023-08-20T19:55:00Z</dcterms:created>
  <dcterms:modified xsi:type="dcterms:W3CDTF">2023-11-19T13:29:00Z</dcterms:modified>
</cp:coreProperties>
</file>