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4A481" w14:textId="5557B4EA" w:rsidR="008A60BA" w:rsidRPr="008A60BA" w:rsidRDefault="008A60BA" w:rsidP="008071CF">
      <w:pPr>
        <w:pStyle w:val="Bezodstpw"/>
        <w:spacing w:line="276" w:lineRule="auto"/>
        <w:jc w:val="left"/>
        <w:rPr>
          <w:rFonts w:ascii="Arial" w:hAnsi="Arial" w:cs="Arial"/>
          <w:sz w:val="22"/>
        </w:rPr>
      </w:pPr>
      <w:r w:rsidRPr="008A60BA">
        <w:rPr>
          <w:rFonts w:ascii="Arial" w:hAnsi="Arial" w:cs="Arial"/>
          <w:sz w:val="22"/>
        </w:rPr>
        <w:t xml:space="preserve">dr Paweł </w:t>
      </w:r>
      <w:proofErr w:type="spellStart"/>
      <w:r w:rsidRPr="008A60BA">
        <w:rPr>
          <w:rFonts w:ascii="Arial" w:hAnsi="Arial" w:cs="Arial"/>
          <w:sz w:val="22"/>
        </w:rPr>
        <w:t>Falenta</w:t>
      </w:r>
      <w:proofErr w:type="spellEnd"/>
    </w:p>
    <w:p w14:paraId="282B3452" w14:textId="536F4EDC" w:rsidR="008A60BA" w:rsidRPr="008A60BA" w:rsidRDefault="008A60BA" w:rsidP="008071CF">
      <w:pPr>
        <w:pStyle w:val="Bezodstpw"/>
        <w:spacing w:line="276" w:lineRule="auto"/>
        <w:jc w:val="left"/>
        <w:rPr>
          <w:rFonts w:ascii="Arial" w:hAnsi="Arial" w:cs="Arial"/>
          <w:sz w:val="22"/>
        </w:rPr>
      </w:pPr>
      <w:r w:rsidRPr="008A60BA">
        <w:rPr>
          <w:rFonts w:ascii="Arial" w:hAnsi="Arial" w:cs="Arial"/>
          <w:sz w:val="22"/>
        </w:rPr>
        <w:t xml:space="preserve">Uniwersytet WSB </w:t>
      </w:r>
      <w:proofErr w:type="spellStart"/>
      <w:r w:rsidRPr="008A60BA">
        <w:rPr>
          <w:rFonts w:ascii="Arial" w:hAnsi="Arial" w:cs="Arial"/>
          <w:sz w:val="22"/>
        </w:rPr>
        <w:t>Merito</w:t>
      </w:r>
      <w:proofErr w:type="spellEnd"/>
      <w:r w:rsidRPr="008A60BA">
        <w:rPr>
          <w:rFonts w:ascii="Arial" w:hAnsi="Arial" w:cs="Arial"/>
          <w:sz w:val="22"/>
        </w:rPr>
        <w:t xml:space="preserve"> we Wrocławiu</w:t>
      </w:r>
    </w:p>
    <w:p w14:paraId="29F46852" w14:textId="77777777" w:rsidR="008A60BA" w:rsidRPr="008A60BA" w:rsidRDefault="008A60BA" w:rsidP="008071CF">
      <w:pPr>
        <w:pStyle w:val="Bezodstpw"/>
        <w:spacing w:line="276" w:lineRule="auto"/>
        <w:jc w:val="left"/>
        <w:rPr>
          <w:rFonts w:ascii="Arial" w:hAnsi="Arial" w:cs="Arial"/>
          <w:sz w:val="22"/>
        </w:rPr>
      </w:pPr>
    </w:p>
    <w:p w14:paraId="492C42B9" w14:textId="76C02FBF" w:rsidR="00BA04DB" w:rsidRPr="008071CF" w:rsidRDefault="005938F7" w:rsidP="008071CF">
      <w:pPr>
        <w:pStyle w:val="Nagwek1"/>
        <w:spacing w:before="0" w:line="276" w:lineRule="auto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8071CF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Samorząd terytorialny w perspektywie wydatkowania środków publicznych – wybrane aspekty finansowe i karnoprawne</w:t>
      </w:r>
    </w:p>
    <w:p w14:paraId="3DFC838F" w14:textId="77777777" w:rsidR="008A60BA" w:rsidRPr="008A60BA" w:rsidRDefault="008A60BA" w:rsidP="008071CF">
      <w:pPr>
        <w:pStyle w:val="Bezodstpw"/>
        <w:spacing w:line="276" w:lineRule="auto"/>
        <w:jc w:val="left"/>
        <w:rPr>
          <w:rFonts w:ascii="Arial" w:hAnsi="Arial" w:cs="Arial"/>
          <w:sz w:val="22"/>
        </w:rPr>
      </w:pPr>
    </w:p>
    <w:p w14:paraId="7C5CAC45" w14:textId="2781EA0C" w:rsidR="0068213C" w:rsidRPr="008A60BA" w:rsidRDefault="0068213C" w:rsidP="008071CF">
      <w:pPr>
        <w:pStyle w:val="Bezodstpw"/>
        <w:spacing w:line="276" w:lineRule="auto"/>
        <w:ind w:firstLine="709"/>
        <w:jc w:val="left"/>
        <w:rPr>
          <w:rFonts w:ascii="Arial" w:hAnsi="Arial" w:cs="Arial"/>
          <w:sz w:val="22"/>
        </w:rPr>
      </w:pPr>
      <w:r w:rsidRPr="008A60BA">
        <w:rPr>
          <w:rFonts w:ascii="Arial" w:hAnsi="Arial" w:cs="Arial"/>
          <w:sz w:val="22"/>
        </w:rPr>
        <w:t>Wystąpienie będzie analitycznym kompendium powiązań w kontekście dochodów i wydatków samorządu terytorialnego. W pierwszej części dokonania będzie analiza powiązań systemu finansów publicznych w kontekście art. 3, art. 5, art. 6, art. 10, art. 33 i art. 44 ustawy o finansach publicznych</w:t>
      </w:r>
      <w:r w:rsidR="00D472CF" w:rsidRPr="008A60BA">
        <w:rPr>
          <w:rFonts w:ascii="Arial" w:hAnsi="Arial" w:cs="Arial"/>
          <w:sz w:val="22"/>
        </w:rPr>
        <w:t xml:space="preserve">. W dalszej części przedstawiony zostanie kontekst funkcjonowania jednostek sektora finansów publicznych z perspektywy standardów kontroli zarządczej (art. 68 i 69 </w:t>
      </w:r>
      <w:proofErr w:type="spellStart"/>
      <w:r w:rsidR="00D472CF" w:rsidRPr="008A60BA">
        <w:rPr>
          <w:rFonts w:ascii="Arial" w:hAnsi="Arial" w:cs="Arial"/>
          <w:sz w:val="22"/>
        </w:rPr>
        <w:t>uofp</w:t>
      </w:r>
      <w:proofErr w:type="spellEnd"/>
      <w:r w:rsidR="00D472CF" w:rsidRPr="008A60BA">
        <w:rPr>
          <w:rFonts w:ascii="Arial" w:hAnsi="Arial" w:cs="Arial"/>
          <w:sz w:val="22"/>
        </w:rPr>
        <w:t xml:space="preserve">). Dopełnieniem będzie część trzecia obejmująca wyszczególnienie potencjalnych obszarów odpowiedzialności kierownika jednostki sektora finansów publicznych za naruszenia w sferze zarządzania dochodami i wydatkami jednostki samorządu terytorialnego. Całość zakończy syntetyczne podsumowanie i wnioski prelegenta. </w:t>
      </w:r>
    </w:p>
    <w:sectPr w:rsidR="0068213C" w:rsidRPr="008A6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F0362"/>
    <w:multiLevelType w:val="hybridMultilevel"/>
    <w:tmpl w:val="C93CB1D8"/>
    <w:lvl w:ilvl="0" w:tplc="27787BE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4213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E94"/>
    <w:rsid w:val="000D6C04"/>
    <w:rsid w:val="001133DC"/>
    <w:rsid w:val="00113E72"/>
    <w:rsid w:val="00180A23"/>
    <w:rsid w:val="00206671"/>
    <w:rsid w:val="00441E94"/>
    <w:rsid w:val="00444490"/>
    <w:rsid w:val="005828CC"/>
    <w:rsid w:val="00585D3F"/>
    <w:rsid w:val="005938F7"/>
    <w:rsid w:val="00673546"/>
    <w:rsid w:val="0068213C"/>
    <w:rsid w:val="006D1FB3"/>
    <w:rsid w:val="007C7951"/>
    <w:rsid w:val="008071CF"/>
    <w:rsid w:val="008A60BA"/>
    <w:rsid w:val="00965010"/>
    <w:rsid w:val="009E6B24"/>
    <w:rsid w:val="00A857B2"/>
    <w:rsid w:val="00BA04DB"/>
    <w:rsid w:val="00D4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87091"/>
  <w15:chartTrackingRefBased/>
  <w15:docId w15:val="{CC3A6287-C383-4C95-A54C-318807A07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1FB3"/>
    <w:pPr>
      <w:spacing w:after="0" w:line="360" w:lineRule="auto"/>
    </w:pPr>
    <w:rPr>
      <w:rFonts w:ascii="Times New Roman" w:hAnsi="Times New Roman" w:cs="Times New Roman"/>
      <w:sz w:val="24"/>
      <w:lang w:val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71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D1FB3"/>
    <w:pPr>
      <w:spacing w:after="0" w:line="240" w:lineRule="auto"/>
      <w:jc w:val="both"/>
    </w:pPr>
    <w:rPr>
      <w:rFonts w:ascii="Times New Roman" w:hAnsi="Times New Roman" w:cs="Times New Roman"/>
      <w:sz w:val="20"/>
    </w:rPr>
  </w:style>
  <w:style w:type="paragraph" w:styleId="Akapitzlist">
    <w:name w:val="List Paragraph"/>
    <w:basedOn w:val="Normalny"/>
    <w:uiPriority w:val="34"/>
    <w:qFormat/>
    <w:rsid w:val="0067354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38F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38F7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8071C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Gonet</dc:creator>
  <cp:keywords/>
  <dc:description/>
  <cp:lastModifiedBy>Bartłomiej Suchodolski</cp:lastModifiedBy>
  <cp:revision>8</cp:revision>
  <dcterms:created xsi:type="dcterms:W3CDTF">2023-08-20T11:32:00Z</dcterms:created>
  <dcterms:modified xsi:type="dcterms:W3CDTF">2023-11-19T12:38:00Z</dcterms:modified>
</cp:coreProperties>
</file>