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A478E" w14:textId="77777777" w:rsidR="00540F60" w:rsidRPr="00540F60" w:rsidRDefault="00540F60" w:rsidP="00DC3E76">
      <w:pPr>
        <w:pStyle w:val="Bezodstpw"/>
        <w:spacing w:line="276" w:lineRule="auto"/>
        <w:rPr>
          <w:rFonts w:ascii="Arial" w:hAnsi="Arial" w:cs="Arial"/>
        </w:rPr>
      </w:pPr>
      <w:r w:rsidRPr="00540F60">
        <w:rPr>
          <w:rFonts w:ascii="Arial" w:hAnsi="Arial" w:cs="Arial"/>
        </w:rPr>
        <w:t xml:space="preserve">prof. dr hab. Artur </w:t>
      </w:r>
      <w:proofErr w:type="spellStart"/>
      <w:r w:rsidRPr="00540F60">
        <w:rPr>
          <w:rFonts w:ascii="Arial" w:hAnsi="Arial" w:cs="Arial"/>
        </w:rPr>
        <w:t>Mudrecki</w:t>
      </w:r>
      <w:proofErr w:type="spellEnd"/>
    </w:p>
    <w:p w14:paraId="22DFBB19" w14:textId="29118579" w:rsidR="00540F60" w:rsidRDefault="00540F60" w:rsidP="00DC3E76">
      <w:pPr>
        <w:pStyle w:val="Bezodstpw"/>
        <w:spacing w:line="276" w:lineRule="auto"/>
        <w:rPr>
          <w:rFonts w:ascii="Arial" w:hAnsi="Arial" w:cs="Arial"/>
        </w:rPr>
      </w:pPr>
      <w:r w:rsidRPr="00540F60">
        <w:rPr>
          <w:rFonts w:ascii="Arial" w:hAnsi="Arial" w:cs="Arial"/>
        </w:rPr>
        <w:t>Akademia Leona Koźmińskiego w Warszawie</w:t>
      </w:r>
    </w:p>
    <w:p w14:paraId="70053E2F" w14:textId="77777777" w:rsidR="00540F60" w:rsidRPr="00540F60" w:rsidRDefault="00540F60" w:rsidP="00DC3E76">
      <w:pPr>
        <w:pStyle w:val="Bezodstpw"/>
        <w:spacing w:line="276" w:lineRule="auto"/>
        <w:rPr>
          <w:rFonts w:ascii="Arial" w:hAnsi="Arial" w:cs="Arial"/>
        </w:rPr>
      </w:pPr>
    </w:p>
    <w:p w14:paraId="162C4462" w14:textId="14AF4466" w:rsidR="00E27A22" w:rsidRPr="00DC3E76" w:rsidRDefault="00E27A22" w:rsidP="00DC3E76">
      <w:pPr>
        <w:pStyle w:val="Nagwek1"/>
        <w:spacing w:before="0"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DC3E76">
        <w:rPr>
          <w:rFonts w:ascii="Arial" w:hAnsi="Arial" w:cs="Arial"/>
          <w:b/>
          <w:bCs/>
          <w:color w:val="auto"/>
          <w:sz w:val="22"/>
          <w:szCs w:val="22"/>
        </w:rPr>
        <w:t>Opodatkowanie gmin VAT-em w Polsce i we Francji. Studium prawno-porównawcze</w:t>
      </w:r>
    </w:p>
    <w:p w14:paraId="7E1EF6F8" w14:textId="77777777" w:rsidR="00540F60" w:rsidRPr="00540F60" w:rsidRDefault="00540F60" w:rsidP="00DC3E76">
      <w:pPr>
        <w:pStyle w:val="Bezodstpw"/>
        <w:spacing w:line="276" w:lineRule="auto"/>
        <w:rPr>
          <w:rFonts w:ascii="Arial" w:hAnsi="Arial" w:cs="Arial"/>
        </w:rPr>
      </w:pPr>
    </w:p>
    <w:p w14:paraId="598A3657" w14:textId="77777777" w:rsidR="00E27A22" w:rsidRPr="00540F60" w:rsidRDefault="00E27A22" w:rsidP="00DC3E76">
      <w:pPr>
        <w:pStyle w:val="Bezodstpw"/>
        <w:spacing w:line="276" w:lineRule="auto"/>
        <w:ind w:firstLine="709"/>
        <w:rPr>
          <w:rFonts w:ascii="Arial" w:hAnsi="Arial" w:cs="Arial"/>
        </w:rPr>
      </w:pPr>
      <w:r w:rsidRPr="00540F60">
        <w:rPr>
          <w:rFonts w:ascii="Arial" w:hAnsi="Arial" w:cs="Arial"/>
        </w:rPr>
        <w:t>Zarówno w Polsce i we Francji system opodatkowania podlega harmonizacji z przepisami Unii Europejskiej. W tych państwach istnieją odrębne regulacje dotyczące opodatkowania gmin, które zakładają opodatkowanie gmin na zasadach ogólnych, ale również przewidują możliwość zwolnienia gmin z podatku od wartości dodanej. Praktyka w tym zakresie we Francji została uregulowana przepisami prawa, natomiast w Polsce wypracowana poprzez orzecznictwa Trybunału Sprawiedliwości Unii Europejskiej i Naczelnego Sądu Administracyjnego. Mało precyzyjne regulacje podatkowe występujące w Polsce prowadza do licznych sporów między gminami a administracją skarbową. Poza tym we systemie francuskim gmina ma prawo zrezygnować ze zwolnienia z VAT-u i rozliczać się na zasadach ogólnych.</w:t>
      </w:r>
    </w:p>
    <w:p w14:paraId="26538352" w14:textId="77777777" w:rsidR="00E27A22" w:rsidRPr="00540F60" w:rsidRDefault="00E27A22" w:rsidP="00DC3E76">
      <w:pPr>
        <w:pStyle w:val="Bezodstpw"/>
        <w:spacing w:line="276" w:lineRule="auto"/>
        <w:ind w:firstLine="709"/>
        <w:rPr>
          <w:rFonts w:ascii="Arial" w:hAnsi="Arial" w:cs="Arial"/>
        </w:rPr>
      </w:pPr>
      <w:r w:rsidRPr="00540F60">
        <w:rPr>
          <w:rFonts w:ascii="Arial" w:hAnsi="Arial" w:cs="Arial"/>
        </w:rPr>
        <w:t>We Francji gminy mają prawo do otrzymywania dotacji z  Funduszu Kompensacji Podatku od Wartości Dodanej (FCTVA). Prowadzi to faktycznej realizacji zasada neutralności w podatku od wartości dodanej i ogranicza liczbę sporów z administracją skarbową, a przy okazji znacznie lepiej zaspokaja interesy wspólnot lokalnych.</w:t>
      </w:r>
    </w:p>
    <w:p w14:paraId="2C9D1F81" w14:textId="77777777" w:rsidR="00C72A36" w:rsidRPr="00540F60" w:rsidRDefault="00C72A36" w:rsidP="00DC3E76">
      <w:pPr>
        <w:pStyle w:val="Bezodstpw"/>
        <w:spacing w:line="276" w:lineRule="auto"/>
        <w:rPr>
          <w:rFonts w:ascii="Arial" w:hAnsi="Arial" w:cs="Arial"/>
        </w:rPr>
      </w:pPr>
    </w:p>
    <w:sectPr w:rsidR="00C72A36" w:rsidRPr="00540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22"/>
    <w:rsid w:val="00540F60"/>
    <w:rsid w:val="007D7091"/>
    <w:rsid w:val="00C72A36"/>
    <w:rsid w:val="00DC3E76"/>
    <w:rsid w:val="00E2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0FD4E"/>
  <w15:chartTrackingRefBased/>
  <w15:docId w15:val="{6784187E-5585-4155-BDC6-8D7A08AC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A22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3E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40F60"/>
    <w:pPr>
      <w:spacing w:after="0" w:line="240" w:lineRule="auto"/>
    </w:pPr>
    <w:rPr>
      <w:kern w:val="0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DC3E7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Mudrecki</dc:creator>
  <cp:keywords/>
  <dc:description/>
  <cp:lastModifiedBy>Bartłomiej Suchodolski</cp:lastModifiedBy>
  <cp:revision>5</cp:revision>
  <dcterms:created xsi:type="dcterms:W3CDTF">2023-08-03T06:33:00Z</dcterms:created>
  <dcterms:modified xsi:type="dcterms:W3CDTF">2023-11-19T12:54:00Z</dcterms:modified>
</cp:coreProperties>
</file>